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91" w:rsidRDefault="00494491" w:rsidP="00494491">
      <w:pPr>
        <w:spacing w:before="240"/>
        <w:jc w:val="center"/>
        <w:rPr>
          <w:b/>
          <w:sz w:val="32"/>
          <w:szCs w:val="32"/>
        </w:rPr>
      </w:pPr>
      <w:r w:rsidRPr="00494491">
        <w:rPr>
          <w:b/>
          <w:sz w:val="32"/>
          <w:szCs w:val="32"/>
        </w:rPr>
        <w:t>Korszerű tanulás támogatás erőforrásai a felsőoktatásban</w:t>
      </w:r>
    </w:p>
    <w:p w:rsidR="00494491" w:rsidRPr="00312AFF" w:rsidRDefault="00494491" w:rsidP="00494491">
      <w:pPr>
        <w:spacing w:before="240"/>
        <w:jc w:val="center"/>
        <w:rPr>
          <w:b/>
          <w:i/>
          <w:sz w:val="32"/>
          <w:szCs w:val="32"/>
        </w:rPr>
      </w:pPr>
      <w:r w:rsidRPr="00312AFF">
        <w:rPr>
          <w:b/>
          <w:i/>
          <w:sz w:val="32"/>
          <w:szCs w:val="32"/>
        </w:rPr>
        <w:t>Göncziné Kapros Katalin</w:t>
      </w:r>
    </w:p>
    <w:p w:rsidR="00494491" w:rsidRPr="00937878" w:rsidRDefault="00494491" w:rsidP="00494491">
      <w:pPr>
        <w:jc w:val="center"/>
        <w:rPr>
          <w:sz w:val="28"/>
          <w:szCs w:val="28"/>
        </w:rPr>
      </w:pPr>
      <w:r w:rsidRPr="00937878">
        <w:rPr>
          <w:sz w:val="28"/>
          <w:szCs w:val="28"/>
        </w:rPr>
        <w:t>Eszterházy Károly Főiskola</w:t>
      </w:r>
      <w:r>
        <w:rPr>
          <w:sz w:val="28"/>
          <w:szCs w:val="28"/>
        </w:rPr>
        <w:t>,</w:t>
      </w:r>
      <w:r w:rsidRPr="00937878">
        <w:rPr>
          <w:sz w:val="28"/>
          <w:szCs w:val="28"/>
        </w:rPr>
        <w:t xml:space="preserve"> Médiainformatika Intézet</w:t>
      </w:r>
    </w:p>
    <w:p w:rsidR="00494491" w:rsidRPr="00312AFF" w:rsidRDefault="00494491" w:rsidP="00494491">
      <w:pPr>
        <w:spacing w:after="480"/>
        <w:jc w:val="center"/>
        <w:rPr>
          <w:i/>
          <w:sz w:val="28"/>
          <w:szCs w:val="28"/>
        </w:rPr>
      </w:pPr>
      <w:r w:rsidRPr="007C141C">
        <w:rPr>
          <w:i/>
          <w:sz w:val="28"/>
          <w:szCs w:val="28"/>
        </w:rPr>
        <w:t>kaprosk@ektf.hu</w:t>
      </w:r>
    </w:p>
    <w:p w:rsidR="00494491" w:rsidRPr="00F96FC3" w:rsidRDefault="00494491" w:rsidP="00EE351F">
      <w:pPr>
        <w:pStyle w:val="alcim"/>
      </w:pPr>
      <w:r w:rsidRPr="00F96FC3">
        <w:t>Absztrakt</w:t>
      </w:r>
    </w:p>
    <w:p w:rsidR="00494491" w:rsidRPr="005E69E0" w:rsidRDefault="00494491" w:rsidP="00494491">
      <w:pPr>
        <w:ind w:firstLine="567"/>
      </w:pPr>
      <w:r>
        <w:t>A mai</w:t>
      </w:r>
      <w:r w:rsidRPr="005E69E0">
        <w:t xml:space="preserve"> generáció</w:t>
      </w:r>
      <w:bookmarkStart w:id="0" w:name="_GoBack"/>
      <w:bookmarkEnd w:id="0"/>
      <w:r w:rsidRPr="005E69E0">
        <w:t xml:space="preserve">k újabb és újabb kihívásokat gördítenek felénk, a </w:t>
      </w:r>
      <w:r>
        <w:t>hagyományos</w:t>
      </w:r>
      <w:r w:rsidRPr="005E69E0">
        <w:t xml:space="preserve"> nevelési, oktató móds</w:t>
      </w:r>
      <w:r>
        <w:t>zereink kiegészítésre szorulnak. Szembesülnünk kellett a</w:t>
      </w:r>
      <w:r w:rsidRPr="005E69E0">
        <w:t xml:space="preserve"> megváltozott </w:t>
      </w:r>
      <w:r>
        <w:t>igényekkel, a tanulókat</w:t>
      </w:r>
      <w:r w:rsidRPr="005E69E0">
        <w:t xml:space="preserve"> már nem köti le</w:t>
      </w:r>
      <w:r>
        <w:t xml:space="preserve">, az „animáció” nélküli </w:t>
      </w:r>
      <w:r w:rsidRPr="005E69E0">
        <w:t>krétát</w:t>
      </w:r>
      <w:r>
        <w:t xml:space="preserve"> és táblát</w:t>
      </w:r>
      <w:r w:rsidRPr="005E69E0">
        <w:t xml:space="preserve"> használ</w:t>
      </w:r>
      <w:r>
        <w:t>ó</w:t>
      </w:r>
      <w:r w:rsidRPr="005E69E0">
        <w:t xml:space="preserve"> </w:t>
      </w:r>
      <w:r>
        <w:t>oktató.</w:t>
      </w:r>
      <w:r w:rsidR="003814D4">
        <w:t xml:space="preserve"> </w:t>
      </w:r>
      <w:r w:rsidRPr="005E69E0">
        <w:t>A</w:t>
      </w:r>
      <w:r>
        <w:t>z új korosztály</w:t>
      </w:r>
      <w:r w:rsidRPr="005E69E0">
        <w:t xml:space="preserve"> </w:t>
      </w:r>
      <w:r>
        <w:t>igényli a dinamikus</w:t>
      </w:r>
      <w:r w:rsidRPr="005E69E0">
        <w:t xml:space="preserve">, </w:t>
      </w:r>
      <w:r>
        <w:t>aktív</w:t>
      </w:r>
      <w:r w:rsidRPr="005E69E0">
        <w:t>, medializált tartalmakat, mely bizony nagy</w:t>
      </w:r>
      <w:r>
        <w:t xml:space="preserve"> kihívást jelent az oktatóknak. </w:t>
      </w:r>
      <w:r w:rsidRPr="005E69E0">
        <w:t xml:space="preserve">A kérdés </w:t>
      </w:r>
      <w:r>
        <w:t>most is az, ami mindig is foglalkoztatta az oktatókat, hogy</w:t>
      </w:r>
      <w:r w:rsidRPr="005E69E0">
        <w:t xml:space="preserve"> hogyan </w:t>
      </w:r>
      <w:r>
        <w:t>keltsék fel érdeklődésüket az adott tananyag iránt, és fejlesszék problémamegoldó képességüket.</w:t>
      </w:r>
      <w:r w:rsidRPr="005E69E0">
        <w:t xml:space="preserve"> Ha sikeresek akarunk lenni ebben a kérdésben, akkor a modern oktatási módszerek mellett a</w:t>
      </w:r>
      <w:r>
        <w:t xml:space="preserve">lkalmazzuk a </w:t>
      </w:r>
      <w:r w:rsidRPr="005E69E0">
        <w:t>legmodernebb IKT technológiák</w:t>
      </w:r>
      <w:r>
        <w:t xml:space="preserve"> </w:t>
      </w:r>
      <w:r w:rsidRPr="005E69E0">
        <w:t>a</w:t>
      </w:r>
      <w:r>
        <w:t>d</w:t>
      </w:r>
      <w:r w:rsidRPr="005E69E0">
        <w:t>t</w:t>
      </w:r>
      <w:r>
        <w:t>a lehetőségeket.</w:t>
      </w:r>
    </w:p>
    <w:p w:rsidR="00494491" w:rsidRDefault="00494491" w:rsidP="00494491">
      <w:pPr>
        <w:ind w:firstLine="567"/>
        <w:rPr>
          <w:szCs w:val="24"/>
        </w:rPr>
      </w:pPr>
      <w:r w:rsidRPr="00D2008B">
        <w:rPr>
          <w:szCs w:val="24"/>
        </w:rPr>
        <w:t>Előadásomban bemutatásra kerül az Eszterházy Károly Főiskolán most záruló felmérés, aminek a célja az eredményes tanári munka háttérfeltételeinek vizsgálata, tanulási szokások felmérése, eredményesebbé tétele hallgatói szemmel.</w:t>
      </w:r>
    </w:p>
    <w:p w:rsidR="00494491" w:rsidRDefault="00494491" w:rsidP="00494491">
      <w:pPr>
        <w:ind w:firstLine="567"/>
      </w:pPr>
      <w:r>
        <w:t xml:space="preserve">A felmérésben kitérek a hallgatók elektronikus- és hagyományos könyv olvasási szokásaira. Melyiket részesítik előnyben? Miként viszonyulnak a hallgatók az e-tankönyvekhez, on-line tananyagokhoz, valamint az elektronikus könyvtárakhoz? </w:t>
      </w:r>
      <w:r w:rsidRPr="000F70FF">
        <w:t>Miként hatnak a</w:t>
      </w:r>
      <w:r>
        <w:t xml:space="preserve"> technikai eszközök a tanulásra</w:t>
      </w:r>
      <w:r w:rsidRPr="000F70FF">
        <w:t xml:space="preserve"> és a</w:t>
      </w:r>
      <w:r>
        <w:t>nnak</w:t>
      </w:r>
      <w:r w:rsidRPr="000F70FF">
        <w:t xml:space="preserve"> módjára? Hogyan változott meg a tanulás, az oktatás rendszere</w:t>
      </w:r>
      <w:r>
        <w:t>, mi szorul még változtatásra</w:t>
      </w:r>
      <w:r w:rsidRPr="000F70FF">
        <w:t>?</w:t>
      </w:r>
    </w:p>
    <w:p w:rsidR="00F331F6" w:rsidRDefault="00494491" w:rsidP="00494491">
      <w:pPr>
        <w:ind w:firstLine="567"/>
      </w:pPr>
      <w:r w:rsidRPr="004A1EBC">
        <w:t xml:space="preserve">A hallgatók tanulási szokásainak, igényeinek felmérése elengedhetetlen ahhoz, hogy a tanítás </w:t>
      </w:r>
      <w:r>
        <w:t>és a hozzá szorosan kapcsolódó területek kellőképpen alkalmazkodni tudjon</w:t>
      </w:r>
      <w:r w:rsidRPr="004A1EBC">
        <w:t xml:space="preserve"> a kor megváltozott igényeihez</w:t>
      </w:r>
      <w:r>
        <w:t>.</w:t>
      </w:r>
    </w:p>
    <w:p w:rsidR="00F331F6" w:rsidRDefault="00F331F6">
      <w:pPr>
        <w:spacing w:after="200" w:line="276" w:lineRule="auto"/>
        <w:jc w:val="left"/>
      </w:pPr>
      <w:r>
        <w:br w:type="page"/>
      </w:r>
    </w:p>
    <w:p w:rsidR="00494491" w:rsidRPr="00F331F6" w:rsidRDefault="00F331F6" w:rsidP="00EE351F">
      <w:pPr>
        <w:pStyle w:val="alcim"/>
      </w:pPr>
      <w:r w:rsidRPr="00F331F6">
        <w:lastRenderedPageBreak/>
        <w:t>„Jövő”</w:t>
      </w:r>
      <w:r>
        <w:t>és jelen</w:t>
      </w:r>
      <w:r w:rsidRPr="00F331F6">
        <w:t xml:space="preserve"> technológiák az osztálytermekben</w:t>
      </w:r>
    </w:p>
    <w:p w:rsidR="008C05E1" w:rsidRPr="00F331F6" w:rsidRDefault="00F331F6" w:rsidP="00F331F6">
      <w:pPr>
        <w:ind w:firstLine="284"/>
        <w:rPr>
          <w:color w:val="FF0000"/>
        </w:rPr>
      </w:pPr>
      <w:r w:rsidRPr="00F331F6">
        <w:t xml:space="preserve">A 21. században a technológia fejlődés következtében az oktatás is jelentős átalakulásán megy keresztül. A folyamatos változás szükséges és elengedhetetlen, ennek következtében különböző „trendekekkel” sejtésekkel találkozhatunk, melyek próbálják megbecsülni, hogy </w:t>
      </w:r>
      <w:r w:rsidR="003814D4">
        <w:t>mik</w:t>
      </w:r>
      <w:r w:rsidRPr="00F331F6">
        <w:t xml:space="preserve"> lesznek a </w:t>
      </w:r>
      <w:r w:rsidR="003814D4">
        <w:t>jövő technológiái az osztályter</w:t>
      </w:r>
      <w:r w:rsidRPr="00F331F6">
        <w:t>m</w:t>
      </w:r>
      <w:r w:rsidR="003814D4">
        <w:t>ek</w:t>
      </w:r>
      <w:r w:rsidRPr="00F331F6">
        <w:t>ben</w:t>
      </w:r>
      <w:r w:rsidRPr="003E7239">
        <w:t xml:space="preserve">. Stansbury Meris, amerikai oktatáskutató </w:t>
      </w:r>
      <w:r w:rsidR="003814D4" w:rsidRPr="003E7239">
        <w:t xml:space="preserve">2012-ben publikált </w:t>
      </w:r>
      <w:r w:rsidRPr="003E7239">
        <w:t>összefoglal</w:t>
      </w:r>
      <w:r w:rsidR="003814D4" w:rsidRPr="003E7239">
        <w:t>ásában</w:t>
      </w:r>
      <w:r w:rsidRPr="003E7239">
        <w:t xml:space="preserve"> 2013-</w:t>
      </w:r>
      <w:r w:rsidR="003814D4" w:rsidRPr="003E7239">
        <w:t>ra</w:t>
      </w:r>
      <w:r w:rsidRPr="003E7239">
        <w:t xml:space="preserve"> teszi a tabletek használatát, az általános iskolák alsó és felső tagozatban egyaránt. 2014-15-re azt jósolta, hogy a second life, virtuális valóság, kiterjesztett valóság irányába fog elmenni a technológia. Amely a mindennapi oktatás része is lehet. Napjainkra (2016-17-re) pedig egyre inkább a virtuális, intelligens asszisztensek szerepét látta erősödni, veszik át az oktatásban a szerepet.</w:t>
      </w:r>
      <w:r w:rsidR="00F3267F" w:rsidRPr="003E7239">
        <w:rPr>
          <w:rStyle w:val="Lbjegyzet-hivatkozs"/>
        </w:rPr>
        <w:footnoteReference w:id="1"/>
      </w:r>
    </w:p>
    <w:p w:rsidR="00F331F6" w:rsidRPr="00F331F6" w:rsidRDefault="00F331F6" w:rsidP="00F331F6">
      <w:pPr>
        <w:ind w:firstLine="284"/>
      </w:pPr>
      <w:r w:rsidRPr="00F331F6">
        <w:t>Reflektálva a</w:t>
      </w:r>
      <w:r w:rsidR="00776C4A">
        <w:t xml:space="preserve"> </w:t>
      </w:r>
      <w:r w:rsidR="0054446D">
        <w:t>„</w:t>
      </w:r>
      <w:r w:rsidR="00776C4A">
        <w:t>kulcstrendekre</w:t>
      </w:r>
      <w:r w:rsidR="0054446D">
        <w:t>”</w:t>
      </w:r>
      <w:r w:rsidRPr="00F331F6">
        <w:t xml:space="preserve"> 2016-ra nagyon sok „jóslat” bebizonyosodni látszik. Néhány példát nézve hazai tekintetben: </w:t>
      </w:r>
    </w:p>
    <w:p w:rsidR="00F331F6" w:rsidRPr="00F331F6" w:rsidRDefault="00F331F6" w:rsidP="00F331F6">
      <w:pPr>
        <w:ind w:firstLine="284"/>
      </w:pPr>
      <w:r w:rsidRPr="00F331F6">
        <w:t>Általános és középiskolai tekintetben: A közép-európai régióban elsők között Magyarország írt alá sz</w:t>
      </w:r>
      <w:r w:rsidR="003814D4">
        <w:t xml:space="preserve">ándéknyilatkozatot arról, hogy </w:t>
      </w:r>
      <w:r w:rsidRPr="00F331F6">
        <w:t>az Intel World Ahead program egyes oktatási projektjeit bevezetik a hazai alap- és középfokú oktatásban. Többek között a Classmate PC, a kompetencia-alapú oktatás igényeinek kiszo</w:t>
      </w:r>
      <w:r w:rsidR="00776C4A">
        <w:t>lgálására készült. Az Eszterházy Károly Főiskolán</w:t>
      </w:r>
      <w:r w:rsidRPr="00F331F6">
        <w:t xml:space="preserve"> 2009-től napjainkig tartó kutatások</w:t>
      </w:r>
      <w:r w:rsidR="00776C4A">
        <w:t xml:space="preserve"> zajlanak</w:t>
      </w:r>
      <w:r w:rsidRPr="00F331F6">
        <w:t>, amelyek magában foglalják alsó tagozaton történő, Classmat Pc, Interaktív táblák, felső tagozaton e-papír e-könyv olvasók, iPad, iBook és táblagépek alkalmazását.</w:t>
      </w:r>
    </w:p>
    <w:p w:rsidR="00F331F6" w:rsidRPr="00F331F6" w:rsidRDefault="00F331F6" w:rsidP="00F331F6">
      <w:pPr>
        <w:ind w:firstLine="284"/>
      </w:pPr>
      <w:r w:rsidRPr="00F331F6">
        <w:t>2011-2012-től kezdve a mobil eszközök (elsősorban tabletek (táblagépek), mobiltelefonok), interaktív táblák megjelenésével, elérhetővé válásával, egyre több oktatási intézmény indult „IKT-s felfedezőútra” külföldön és Magyarországon egyaránt. A tabletek egyre több intézményben jelennek meg, s szinte minden oktatási szinten megtalálhatók. 2013-ra tehető az iBookok alkalmazása.</w:t>
      </w:r>
    </w:p>
    <w:p w:rsidR="0054446D" w:rsidRDefault="0054446D" w:rsidP="0054446D">
      <w:pPr>
        <w:ind w:firstLine="284"/>
      </w:pPr>
      <w:r>
        <w:t>A kulcstrendeket h</w:t>
      </w:r>
      <w:r w:rsidR="00F331F6" w:rsidRPr="00F331F6">
        <w:t>azai tekintetben kiegészíteném a LEGO ok</w:t>
      </w:r>
      <w:r>
        <w:t xml:space="preserve">tatásba történő importálásával. </w:t>
      </w:r>
      <w:r w:rsidRPr="00F331F6">
        <w:t xml:space="preserve">A lego </w:t>
      </w:r>
      <w:r w:rsidRPr="0054446D">
        <w:rPr>
          <w:bCs/>
        </w:rPr>
        <w:t>arszpoétikája</w:t>
      </w:r>
      <w:r w:rsidRPr="00F331F6">
        <w:t xml:space="preserve"> az, hogy hagyjuk a gyermeket a saját elképzelése szerint felépítsen egy jó megoldást és ne korlátozzuk le egyetlen megoldásra. A gyerekek kreativitása, megoldó készsége meglepő módon szárnyal, és a LEGO segítségével kiválóan tovább fejleszthető.</w:t>
      </w:r>
    </w:p>
    <w:p w:rsidR="0054446D" w:rsidRDefault="002F15F8" w:rsidP="00300C52">
      <w:pPr>
        <w:ind w:firstLine="284"/>
      </w:pPr>
      <w:r>
        <w:t xml:space="preserve">Számos </w:t>
      </w:r>
      <w:r w:rsidRPr="00DD4886">
        <w:t>Lego Education</w:t>
      </w:r>
      <w:r>
        <w:t xml:space="preserve"> számos készlet fejlesztett ki a különböző tanulmányok kiegészítésre, az iskolát megelőző évektől egészen a középiskolás korig. </w:t>
      </w:r>
      <w:r w:rsidRPr="00A65C5D">
        <w:rPr>
          <w:color w:val="000000"/>
        </w:rPr>
        <w:t>Néhány k</w:t>
      </w:r>
      <w:r>
        <w:rPr>
          <w:color w:val="000000"/>
        </w:rPr>
        <w:t xml:space="preserve">észletet kiemelve: </w:t>
      </w:r>
      <w:r w:rsidR="006C1DBB">
        <w:rPr>
          <w:color w:val="000000"/>
        </w:rPr>
        <w:t xml:space="preserve">a </w:t>
      </w:r>
      <w:r>
        <w:t>történetmesélés</w:t>
      </w:r>
      <w:r w:rsidR="006C1DBB">
        <w:t xml:space="preserve">re fejlesztett </w:t>
      </w:r>
      <w:r w:rsidR="006C1DBB" w:rsidRPr="00A65C5D">
        <w:rPr>
          <w:color w:val="000000"/>
        </w:rPr>
        <w:t>StoryStarter</w:t>
      </w:r>
      <w:r>
        <w:t>, tudományos</w:t>
      </w:r>
      <w:r w:rsidRPr="00F331F6">
        <w:t xml:space="preserve"> kísérletek végzésére alkalmas készlet</w:t>
      </w:r>
      <w:r>
        <w:t xml:space="preserve">, </w:t>
      </w:r>
      <w:r>
        <w:rPr>
          <w:color w:val="000000"/>
        </w:rPr>
        <w:t xml:space="preserve">a matematika </w:t>
      </w:r>
      <w:r w:rsidRPr="00A65C5D">
        <w:rPr>
          <w:color w:val="000000"/>
        </w:rPr>
        <w:t>oktatás</w:t>
      </w:r>
      <w:r>
        <w:rPr>
          <w:color w:val="000000"/>
        </w:rPr>
        <w:t>á</w:t>
      </w:r>
      <w:r w:rsidRPr="00A65C5D">
        <w:rPr>
          <w:color w:val="000000"/>
        </w:rPr>
        <w:t>ra készült MoreToMath</w:t>
      </w:r>
      <w:r>
        <w:t xml:space="preserve">. Illetve a </w:t>
      </w:r>
      <w:r w:rsidR="00197799">
        <w:t>Lego Mindstorms</w:t>
      </w:r>
      <w:r w:rsidR="00197799">
        <w:rPr>
          <w:color w:val="000000"/>
        </w:rPr>
        <w:t xml:space="preserve"> Education EV3</w:t>
      </w:r>
      <w:r>
        <w:t>, amely k</w:t>
      </w:r>
      <w:r w:rsidRPr="00F331F6">
        <w:t>ülönböző szenzorokkal ellátott, programozható robot</w:t>
      </w:r>
      <w:r>
        <w:t xml:space="preserve"> (h</w:t>
      </w:r>
      <w:r w:rsidRPr="00F331F6">
        <w:t>ang érzékelő, fényérzékelő, ütközés érzékelő, ultrahang szenzor</w:t>
      </w:r>
      <w:r>
        <w:t>).</w:t>
      </w:r>
      <w:r w:rsidR="00C03AA3">
        <w:rPr>
          <w:rStyle w:val="Lbjegyzet-hivatkozs"/>
        </w:rPr>
        <w:footnoteReference w:id="2"/>
      </w:r>
    </w:p>
    <w:p w:rsidR="0054446D" w:rsidRDefault="0054446D" w:rsidP="0054446D">
      <w:pPr>
        <w:ind w:firstLine="284"/>
      </w:pPr>
      <w:r w:rsidRPr="00DD4886">
        <w:t>A Lego Education</w:t>
      </w:r>
      <w:r>
        <w:t xml:space="preserve"> által szervezett</w:t>
      </w:r>
      <w:r w:rsidRPr="00DD4886">
        <w:t xml:space="preserve"> program keretein belül szeretné kibővíteni az általános iskolák </w:t>
      </w:r>
      <w:r w:rsidRPr="00F331F6">
        <w:t>1 és 2. osztályos</w:t>
      </w:r>
      <w:r w:rsidRPr="00DD4886">
        <w:t xml:space="preserve"> matematika oktatásának módszereit.</w:t>
      </w:r>
      <w:r>
        <w:t xml:space="preserve"> </w:t>
      </w:r>
      <w:r w:rsidRPr="00DD4886">
        <w:t>A programhoz Magyarország 2015-ben csatlakozott. A cég a csatlakozó általános iskolák egy-egy osztá</w:t>
      </w:r>
      <w:r>
        <w:t xml:space="preserve">lyának Lego matematika készletet biztosított </w:t>
      </w:r>
      <w:r w:rsidRPr="00DD4886">
        <w:t>(LEGO MoreToMath).</w:t>
      </w:r>
      <w:r w:rsidRPr="00012BD9">
        <w:rPr>
          <w:color w:val="2F5496"/>
        </w:rPr>
        <w:t xml:space="preserve"> </w:t>
      </w:r>
      <w:r w:rsidRPr="00DD4886">
        <w:t>A programba jelenleg több mint 30 iskola vesz részt.</w:t>
      </w:r>
    </w:p>
    <w:p w:rsidR="00F331F6" w:rsidRPr="00F331F6" w:rsidRDefault="00C03AA3" w:rsidP="00F331F6">
      <w:pPr>
        <w:ind w:firstLine="284"/>
      </w:pPr>
      <w:r>
        <w:t>A kulcstrendeket a felsőoktatásban a Mooc magyarországi erősödésével egészíteném ki. N</w:t>
      </w:r>
      <w:r w:rsidR="00F331F6" w:rsidRPr="00F331F6">
        <w:t xml:space="preserve">emzetközi viszonylaton túl </w:t>
      </w:r>
      <w:r w:rsidRPr="00F331F6">
        <w:t>Magyarországon</w:t>
      </w:r>
      <w:r w:rsidR="00F331F6" w:rsidRPr="00F331F6">
        <w:t xml:space="preserve"> is megjelentek a MOOC (Massive Open Online Courses)</w:t>
      </w:r>
      <w:r w:rsidR="00F331F6">
        <w:t xml:space="preserve"> </w:t>
      </w:r>
      <w:r w:rsidR="00F331F6" w:rsidRPr="00F331F6">
        <w:t>kurzusok.</w:t>
      </w:r>
    </w:p>
    <w:p w:rsidR="00BB40A8" w:rsidRPr="00F331F6" w:rsidRDefault="00F331F6" w:rsidP="00B334F8">
      <w:pPr>
        <w:numPr>
          <w:ilvl w:val="0"/>
          <w:numId w:val="1"/>
        </w:numPr>
      </w:pPr>
      <w:r w:rsidRPr="00F331F6">
        <w:t>Óbudai Egyetem (Kárpát-medencei Online Oktatási Centrum (K-MOOC)</w:t>
      </w:r>
      <w:r w:rsidR="00C03AA3">
        <w:t>: már 2014-ben 23 kurzust indítottak.</w:t>
      </w:r>
      <w:r w:rsidR="00B334F8">
        <w:t xml:space="preserve"> (</w:t>
      </w:r>
      <w:hyperlink r:id="rId8" w:history="1">
        <w:r w:rsidR="00B334F8" w:rsidRPr="00132325">
          <w:rPr>
            <w:rStyle w:val="Hiperhivatkozs"/>
          </w:rPr>
          <w:t>https://elearning.uni-obuda.hu/kmooc/</w:t>
        </w:r>
      </w:hyperlink>
      <w:r w:rsidR="00B334F8">
        <w:t>)</w:t>
      </w:r>
    </w:p>
    <w:p w:rsidR="00BB40A8" w:rsidRPr="00F331F6" w:rsidRDefault="00C03AA3" w:rsidP="00F36C96">
      <w:pPr>
        <w:numPr>
          <w:ilvl w:val="0"/>
          <w:numId w:val="1"/>
        </w:numPr>
      </w:pPr>
      <w:r>
        <w:lastRenderedPageBreak/>
        <w:t>Miskolci Egyetem és az Eszterházy Károly Főiskola</w:t>
      </w:r>
      <w:r w:rsidR="00F331F6" w:rsidRPr="00F331F6">
        <w:t xml:space="preserve"> együttműködésével lé</w:t>
      </w:r>
      <w:r>
        <w:t xml:space="preserve">trejött online képzési központ </w:t>
      </w:r>
      <w:r w:rsidR="00F331F6" w:rsidRPr="00F331F6">
        <w:t>több mint 70 online angol és magyar tananyag</w:t>
      </w:r>
      <w:r w:rsidR="00FD2568">
        <w:t xml:space="preserve"> hozzáférését biztosítja (</w:t>
      </w:r>
      <w:hyperlink r:id="rId9" w:history="1">
        <w:r w:rsidR="00D04A94" w:rsidRPr="00F331F6">
          <w:rPr>
            <w:rStyle w:val="Hiperhivatkozs"/>
          </w:rPr>
          <w:t>http://www.memooc.hu</w:t>
        </w:r>
      </w:hyperlink>
      <w:hyperlink r:id="rId10" w:history="1">
        <w:r w:rsidR="00D04A94" w:rsidRPr="00F331F6">
          <w:rPr>
            <w:rStyle w:val="Hiperhivatkozs"/>
          </w:rPr>
          <w:t>/</w:t>
        </w:r>
      </w:hyperlink>
      <w:r w:rsidR="00FD2568">
        <w:rPr>
          <w:rStyle w:val="Hiperhivatkozs"/>
        </w:rPr>
        <w:t>)</w:t>
      </w:r>
    </w:p>
    <w:p w:rsidR="00BB40A8" w:rsidRPr="00F331F6" w:rsidRDefault="00F331F6" w:rsidP="00F2134A">
      <w:pPr>
        <w:numPr>
          <w:ilvl w:val="0"/>
          <w:numId w:val="1"/>
        </w:numPr>
      </w:pPr>
      <w:r w:rsidRPr="00F331F6">
        <w:t>EKF Virtuális Egyetem</w:t>
      </w:r>
      <w:r w:rsidR="00FD2568">
        <w:t xml:space="preserve">: </w:t>
      </w:r>
      <w:r w:rsidRPr="00F331F6">
        <w:t>2016. március</w:t>
      </w:r>
      <w:r w:rsidR="00FD2568">
        <w:t>ban</w:t>
      </w:r>
      <w:r w:rsidRPr="00F331F6">
        <w:t xml:space="preserve"> 3 kurzus</w:t>
      </w:r>
      <w:r w:rsidR="00FD2568">
        <w:t xml:space="preserve"> indult, melynek száma várhatóan dinamikusan növekedni fog. (</w:t>
      </w:r>
      <w:hyperlink r:id="rId11" w:history="1">
        <w:r w:rsidR="00FD2568" w:rsidRPr="00132325">
          <w:rPr>
            <w:rStyle w:val="Hiperhivatkozs"/>
          </w:rPr>
          <w:t>http://www.virtualis-egyetem.hu/kurzus</w:t>
        </w:r>
      </w:hyperlink>
      <w:r w:rsidR="00FD2568">
        <w:t>)</w:t>
      </w:r>
    </w:p>
    <w:p w:rsidR="00F331F6" w:rsidRDefault="00F331F6" w:rsidP="003E7239">
      <w:pPr>
        <w:ind w:firstLine="284"/>
      </w:pPr>
      <w:r w:rsidRPr="00F331F6">
        <w:t xml:space="preserve">De mit mond </w:t>
      </w:r>
      <w:r w:rsidR="00B334F8">
        <w:t>az új generáció? Akik már az IKT</w:t>
      </w:r>
      <w:r w:rsidRPr="00F331F6">
        <w:t>-s eszközökkel körülölelve nőnek fel és szinte mindenben támaszkodnak eszközeikre, még ha nem is használják ki a benne rejlő lehetőségeket. Többek között ezért is készült a következő felmérés, vajon tanulmányaikban használják , élnek</w:t>
      </w:r>
      <w:r w:rsidR="00B334F8">
        <w:t>-</w:t>
      </w:r>
      <w:r w:rsidRPr="00F331F6">
        <w:t>e az új lehetőségekkel, módszerekkel vagy csak megragad a társas kommunikáció szintjén? Az on-line tananyagok könnyebb elsajátíthatóságot biztosítanak? Szívesebben használnak a szakjuknak megfelelő elektronikus szakirodalmat? Könnyebbséget jelent, alaposabb számonkérést tud biztosítani az elektronikus tesztek? Ezekre és hasonló kérdésekre kerestünk választ a felmérésben.</w:t>
      </w:r>
    </w:p>
    <w:p w:rsidR="00F331F6" w:rsidRPr="00F331F6" w:rsidRDefault="00F331F6" w:rsidP="00EE351F">
      <w:pPr>
        <w:pStyle w:val="alcim"/>
      </w:pPr>
      <w:r w:rsidRPr="00F331F6">
        <w:t>Tanulást támogató eszközök, tanári munka háttérfeltételei, felmérés</w:t>
      </w:r>
    </w:p>
    <w:p w:rsidR="00F331F6" w:rsidRPr="00F331F6" w:rsidRDefault="00F331F6" w:rsidP="00F331F6">
      <w:pPr>
        <w:ind w:firstLine="284"/>
      </w:pPr>
      <w:r w:rsidRPr="00F331F6">
        <w:t>A felmérésben az Eszterházy Károly Főiskola MA és BA, főleg a tanár szakos hallgatók véleményére voltunk kíváncsiak. Azt vettük alapul, hogy ahogyan tanulnak most, azon tapasztalataikból kiindulva fognak a későbbiekben tanítani.</w:t>
      </w:r>
      <w:r w:rsidR="003E7239">
        <w:t xml:space="preserve"> </w:t>
      </w:r>
      <w:r w:rsidRPr="00F331F6">
        <w:t>A felmérés Unipoll kérdőív készítő, az elemzés SPSS szoftver segítségével készült</w:t>
      </w:r>
      <w:r w:rsidR="003E7239">
        <w:t xml:space="preserve">, </w:t>
      </w:r>
      <w:r w:rsidR="003E7239" w:rsidRPr="00F331F6">
        <w:t>TAMOP-os pályáz</w:t>
      </w:r>
      <w:r w:rsidR="003E7239">
        <w:t>at keretein belül</w:t>
      </w:r>
      <w:r w:rsidRPr="00F331F6">
        <w:t>.</w:t>
      </w:r>
    </w:p>
    <w:p w:rsidR="00F331F6" w:rsidRPr="003E7239" w:rsidRDefault="00F331F6" w:rsidP="003E7239">
      <w:pPr>
        <w:pStyle w:val="alcim2"/>
      </w:pPr>
      <w:r w:rsidRPr="003E7239">
        <w:t>Személytörténeti adatok</w:t>
      </w:r>
    </w:p>
    <w:p w:rsidR="00F331F6" w:rsidRPr="00C41F3B" w:rsidRDefault="00092BD0" w:rsidP="00F331F6">
      <w:pPr>
        <w:ind w:firstLine="284"/>
      </w:pPr>
      <w:r>
        <w:rPr>
          <w:bCs/>
        </w:rPr>
        <w:t xml:space="preserve">A </w:t>
      </w:r>
      <w:r w:rsidR="00F331F6" w:rsidRPr="00C41F3B">
        <w:rPr>
          <w:bCs/>
        </w:rPr>
        <w:t>kérdőív kitöltés</w:t>
      </w:r>
      <w:r>
        <w:rPr>
          <w:bCs/>
        </w:rPr>
        <w:t>é</w:t>
      </w:r>
      <w:r w:rsidR="00F331F6" w:rsidRPr="00C41F3B">
        <w:rPr>
          <w:bCs/>
        </w:rPr>
        <w:t xml:space="preserve">ben </w:t>
      </w:r>
      <w:r w:rsidR="00F331F6" w:rsidRPr="00C41F3B">
        <w:t xml:space="preserve">268 hallgató vett részt. A kitöltők 96,3%-a (258 fő) </w:t>
      </w:r>
      <w:r w:rsidR="006A0801">
        <w:t>szinte</w:t>
      </w:r>
      <w:r w:rsidR="00F331F6" w:rsidRPr="00C41F3B">
        <w:t xml:space="preserve"> teljes mértékig válaszolt a feltett kérdésekre. </w:t>
      </w:r>
      <w:r w:rsidR="00F331F6" w:rsidRPr="00C41F3B">
        <w:rPr>
          <w:bCs/>
        </w:rPr>
        <w:t xml:space="preserve">Az elemzés megbízhatósága érdekében </w:t>
      </w:r>
      <w:r w:rsidR="00F331F6" w:rsidRPr="00C41F3B">
        <w:t xml:space="preserve">a fennmaradó </w:t>
      </w:r>
      <w:r w:rsidR="00F331F6" w:rsidRPr="00C41F3B">
        <w:rPr>
          <w:bCs/>
        </w:rPr>
        <w:t>10 fő</w:t>
      </w:r>
      <w:r w:rsidR="006A0801">
        <w:rPr>
          <w:bCs/>
        </w:rPr>
        <w:t xml:space="preserve"> (</w:t>
      </w:r>
      <w:r w:rsidR="006A0801">
        <w:t>3,7%</w:t>
      </w:r>
      <w:r w:rsidR="006A0801">
        <w:rPr>
          <w:bCs/>
        </w:rPr>
        <w:t>)</w:t>
      </w:r>
      <w:r w:rsidR="00F331F6" w:rsidRPr="00C41F3B">
        <w:t xml:space="preserve"> eredményeit, akik az első, vagy a második oldal után befejezték az </w:t>
      </w:r>
      <w:r w:rsidR="00F331F6" w:rsidRPr="00C41F3B">
        <w:rPr>
          <w:bCs/>
        </w:rPr>
        <w:t>adatszolgáltatást</w:t>
      </w:r>
      <w:r w:rsidR="00F331F6" w:rsidRPr="00C41F3B">
        <w:t>, a statisztikai</w:t>
      </w:r>
      <w:r w:rsidR="006A0801">
        <w:t xml:space="preserve"> vizsgálatból kivételre került.</w:t>
      </w:r>
    </w:p>
    <w:p w:rsidR="00F331F6" w:rsidRPr="00C41F3B" w:rsidRDefault="00F331F6" w:rsidP="00F331F6">
      <w:pPr>
        <w:ind w:firstLine="284"/>
      </w:pPr>
      <w:r w:rsidRPr="00C41F3B">
        <w:t>Nemek tekintetében a kitöltők többsége nő volt. (</w:t>
      </w:r>
      <w:r w:rsidRPr="00C41F3B">
        <w:rPr>
          <w:lang w:val="pt-BR"/>
        </w:rPr>
        <w:t>62,4%-a nő, 35,7%-a férfi</w:t>
      </w:r>
      <w:r w:rsidRPr="00C41F3B">
        <w:t>, 1,9% nem adott választ.)</w:t>
      </w:r>
    </w:p>
    <w:p w:rsidR="00F331F6" w:rsidRPr="00C41F3B" w:rsidRDefault="00F331F6" w:rsidP="00F331F6">
      <w:pPr>
        <w:ind w:firstLine="284"/>
      </w:pPr>
      <w:r w:rsidRPr="00C41F3B">
        <w:rPr>
          <w:bCs/>
        </w:rPr>
        <w:t xml:space="preserve">A lakhely szerinti elemzésben kimagasló mértékben </w:t>
      </w:r>
      <w:r w:rsidRPr="00C41F3B">
        <w:t xml:space="preserve">(65,12%) a vidéki megyeszékhely, megyei </w:t>
      </w:r>
      <w:r w:rsidR="006A0801">
        <w:t xml:space="preserve">jogú város település típus állt, ezt követi a község (24,42%), és a főváros (8,57%), majd a külföldön élők (0,388%). </w:t>
      </w:r>
    </w:p>
    <w:p w:rsidR="00F331F6" w:rsidRDefault="00F331F6" w:rsidP="006A0801">
      <w:pPr>
        <w:pStyle w:val="alcim2"/>
      </w:pPr>
      <w:r w:rsidRPr="00F331F6">
        <w:t>Képzésben való részvétel</w:t>
      </w:r>
    </w:p>
    <w:p w:rsidR="00F331F6" w:rsidRPr="006A0801" w:rsidRDefault="006A0801" w:rsidP="00F331F6">
      <w:pPr>
        <w:ind w:firstLine="284"/>
      </w:pPr>
      <w:r>
        <w:t>Az alábbi sávdiagram</w:t>
      </w:r>
      <w:r w:rsidR="00F331F6" w:rsidRPr="00F331F6">
        <w:t xml:space="preserve"> </w:t>
      </w:r>
      <w:r>
        <w:t xml:space="preserve">(1. ábra) </w:t>
      </w:r>
      <w:r w:rsidR="00F331F6" w:rsidRPr="006A0801">
        <w:rPr>
          <w:bCs/>
        </w:rPr>
        <w:t>szemlélteti</w:t>
      </w:r>
      <w:r w:rsidR="00F331F6" w:rsidRPr="00F331F6">
        <w:t xml:space="preserve"> a hallgatók BA és az MA képzés, </w:t>
      </w:r>
      <w:r w:rsidR="00F331F6" w:rsidRPr="006A0801">
        <w:rPr>
          <w:bCs/>
        </w:rPr>
        <w:t>tudományágak szerinti megoszlását</w:t>
      </w:r>
      <w:r w:rsidR="00F331F6" w:rsidRPr="006A0801">
        <w:t xml:space="preserve">. A hallgatók BA képzésben való </w:t>
      </w:r>
      <w:r w:rsidR="00F331F6" w:rsidRPr="006A0801">
        <w:rPr>
          <w:bCs/>
        </w:rPr>
        <w:t>tanulást</w:t>
      </w:r>
      <w:r w:rsidR="00F331F6" w:rsidRPr="006A0801">
        <w:t xml:space="preserve"> 273, MA képzést 177 fő </w:t>
      </w:r>
      <w:r w:rsidR="00F331F6" w:rsidRPr="006A0801">
        <w:rPr>
          <w:bCs/>
        </w:rPr>
        <w:t>jelölte meg</w:t>
      </w:r>
      <w:r w:rsidR="00F331F6" w:rsidRPr="006A0801">
        <w:t>, tehát többen</w:t>
      </w:r>
      <w:r w:rsidR="009A30EB">
        <w:t>,</w:t>
      </w:r>
      <w:r w:rsidR="00F331F6" w:rsidRPr="006A0801">
        <w:t xml:space="preserve"> mindkét </w:t>
      </w:r>
      <w:r w:rsidR="00F331F6" w:rsidRPr="006A0801">
        <w:rPr>
          <w:bCs/>
        </w:rPr>
        <w:t>képzésben</w:t>
      </w:r>
      <w:r w:rsidR="00F331F6" w:rsidRPr="006A0801">
        <w:t xml:space="preserve"> párhuzamosan </w:t>
      </w:r>
      <w:r w:rsidR="009A30EB">
        <w:t>több szakot végeznek</w:t>
      </w:r>
      <w:r w:rsidR="00F331F6" w:rsidRPr="006A0801">
        <w:t>.</w:t>
      </w:r>
    </w:p>
    <w:p w:rsidR="00F331F6" w:rsidRDefault="00F331F6" w:rsidP="00F331F6">
      <w:pPr>
        <w:ind w:firstLine="284"/>
        <w:rPr>
          <w:bCs/>
        </w:rPr>
      </w:pPr>
      <w:r w:rsidRPr="006A0801">
        <w:t xml:space="preserve">A BA képzésben résztvevők közül a művészetképzés, gazdálkodás és bölcsészet </w:t>
      </w:r>
      <w:r w:rsidRPr="006A0801">
        <w:rPr>
          <w:bCs/>
        </w:rPr>
        <w:t>terültén</w:t>
      </w:r>
      <w:r w:rsidRPr="006A0801">
        <w:t xml:space="preserve">, az MA képzésben résztvevők közül pedig a pedagógusképzés, művészetképzés, gazdálkodás és bölcsészet </w:t>
      </w:r>
      <w:r w:rsidRPr="006A0801">
        <w:rPr>
          <w:bCs/>
        </w:rPr>
        <w:t>terültén</w:t>
      </w:r>
      <w:r w:rsidRPr="006A0801">
        <w:t xml:space="preserve"> </w:t>
      </w:r>
      <w:r w:rsidR="00A50C0A">
        <w:rPr>
          <w:bCs/>
        </w:rPr>
        <w:t xml:space="preserve">tanuló hallgatók </w:t>
      </w:r>
      <w:r w:rsidRPr="006A0801">
        <w:rPr>
          <w:bCs/>
        </w:rPr>
        <w:t>vettek részt legnagyobb arányban.</w:t>
      </w:r>
    </w:p>
    <w:p w:rsidR="00A50C0A" w:rsidRDefault="00A50C0A" w:rsidP="00F7222B">
      <w:pPr>
        <w:rPr>
          <w:bCs/>
        </w:rPr>
      </w:pPr>
    </w:p>
    <w:tbl>
      <w:tblPr>
        <w:tblStyle w:val="Rcsostblzat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80"/>
      </w:tblGrid>
      <w:tr w:rsidR="006A0801" w:rsidTr="006A0801">
        <w:tc>
          <w:tcPr>
            <w:tcW w:w="4559" w:type="dxa"/>
          </w:tcPr>
          <w:p w:rsidR="006A0801" w:rsidRDefault="006A0801" w:rsidP="006A0801">
            <w:r w:rsidRPr="00F331F6">
              <w:rPr>
                <w:noProof/>
                <w:lang w:eastAsia="hu-HU"/>
              </w:rPr>
              <w:lastRenderedPageBreak/>
              <w:drawing>
                <wp:inline distT="0" distB="0" distL="0" distR="0" wp14:anchorId="5C9AAEB0" wp14:editId="352C73AC">
                  <wp:extent cx="2896356" cy="1998000"/>
                  <wp:effectExtent l="0" t="0" r="0" b="2540"/>
                  <wp:docPr id="1027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Kép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356" cy="19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</w:tcPr>
          <w:p w:rsidR="006A0801" w:rsidRDefault="006A0801" w:rsidP="006A0801">
            <w:pPr>
              <w:keepNext/>
            </w:pPr>
            <w:r w:rsidRPr="00F331F6">
              <w:rPr>
                <w:noProof/>
                <w:lang w:eastAsia="hu-HU"/>
              </w:rPr>
              <w:drawing>
                <wp:inline distT="0" distB="0" distL="0" distR="0" wp14:anchorId="2E7C96E6" wp14:editId="7CB5B3F7">
                  <wp:extent cx="2898380" cy="1999397"/>
                  <wp:effectExtent l="0" t="0" r="0" b="1270"/>
                  <wp:docPr id="1028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Kép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289" cy="201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801" w:rsidRPr="00F7222B" w:rsidRDefault="006A0801" w:rsidP="006A0801">
      <w:pPr>
        <w:pStyle w:val="Kpalrs"/>
        <w:jc w:val="center"/>
        <w:rPr>
          <w:color w:val="auto"/>
          <w:sz w:val="24"/>
          <w:szCs w:val="24"/>
        </w:rPr>
      </w:pPr>
      <w:r w:rsidRPr="00F7222B">
        <w:rPr>
          <w:color w:val="auto"/>
          <w:sz w:val="24"/>
          <w:szCs w:val="24"/>
        </w:rPr>
        <w:fldChar w:fldCharType="begin"/>
      </w:r>
      <w:r w:rsidRPr="00F7222B">
        <w:rPr>
          <w:color w:val="auto"/>
          <w:sz w:val="24"/>
          <w:szCs w:val="24"/>
        </w:rPr>
        <w:instrText xml:space="preserve"> SEQ ábra \* ARABIC </w:instrText>
      </w:r>
      <w:r w:rsidRPr="00F7222B">
        <w:rPr>
          <w:color w:val="auto"/>
          <w:sz w:val="24"/>
          <w:szCs w:val="24"/>
        </w:rPr>
        <w:fldChar w:fldCharType="separate"/>
      </w:r>
      <w:r w:rsidR="00B8781A">
        <w:rPr>
          <w:noProof/>
          <w:color w:val="auto"/>
          <w:sz w:val="24"/>
          <w:szCs w:val="24"/>
        </w:rPr>
        <w:t>1</w:t>
      </w:r>
      <w:r w:rsidRPr="00F7222B">
        <w:rPr>
          <w:color w:val="auto"/>
          <w:sz w:val="24"/>
          <w:szCs w:val="24"/>
        </w:rPr>
        <w:fldChar w:fldCharType="end"/>
      </w:r>
      <w:r w:rsidRPr="00F7222B">
        <w:rPr>
          <w:color w:val="auto"/>
          <w:sz w:val="24"/>
          <w:szCs w:val="24"/>
        </w:rPr>
        <w:t>. ábra Képzésben való részvétel</w:t>
      </w:r>
    </w:p>
    <w:p w:rsidR="00F331F6" w:rsidRDefault="00F331F6" w:rsidP="00A50C0A">
      <w:pPr>
        <w:pStyle w:val="alcim2"/>
      </w:pPr>
      <w:r w:rsidRPr="00F331F6">
        <w:t>Tanítási szándék</w:t>
      </w:r>
    </w:p>
    <w:p w:rsidR="00F331F6" w:rsidRPr="00A50C0A" w:rsidRDefault="00F331F6" w:rsidP="00F331F6">
      <w:pPr>
        <w:ind w:firstLine="284"/>
      </w:pPr>
      <w:r w:rsidRPr="00F331F6">
        <w:t xml:space="preserve">A </w:t>
      </w:r>
      <w:r w:rsidR="00A50C0A">
        <w:t xml:space="preserve">felmérésben kitértünk </w:t>
      </w:r>
      <w:r w:rsidRPr="00F331F6">
        <w:t xml:space="preserve">hallgatók </w:t>
      </w:r>
      <w:r w:rsidR="00A50C0A">
        <w:t xml:space="preserve">későbbi terveire, a </w:t>
      </w:r>
      <w:r w:rsidRPr="00F331F6">
        <w:t>tanítási szándékára</w:t>
      </w:r>
      <w:r w:rsidR="00A50C0A">
        <w:t>. A</w:t>
      </w:r>
      <w:r w:rsidRPr="00F331F6">
        <w:t xml:space="preserve"> </w:t>
      </w:r>
      <w:r w:rsidR="00A50C0A">
        <w:t>kitöltők</w:t>
      </w:r>
      <w:r w:rsidRPr="00F331F6">
        <w:t xml:space="preserve"> kimagasló számban, 42,2%-a </w:t>
      </w:r>
      <w:r w:rsidRPr="00A50C0A">
        <w:rPr>
          <w:bCs/>
        </w:rPr>
        <w:t>nem pedagógus pályán képzeli el a jövőjét, nem tanít és nem is áll szándékában tanítani</w:t>
      </w:r>
      <w:r w:rsidRPr="00A50C0A">
        <w:t xml:space="preserve">. Említésre méltó, hogy 22,1% </w:t>
      </w:r>
      <w:r w:rsidR="00A50C0A">
        <w:rPr>
          <w:bCs/>
        </w:rPr>
        <w:t>jelenleg is tanít</w:t>
      </w:r>
      <w:r w:rsidRPr="00A50C0A">
        <w:t>, gyakorló pedagógusok</w:t>
      </w:r>
      <w:r w:rsidR="00A50C0A">
        <w:t>,</w:t>
      </w:r>
      <w:r w:rsidR="00A50C0A" w:rsidRPr="00A50C0A">
        <w:t xml:space="preserve"> </w:t>
      </w:r>
      <w:r w:rsidR="00A50C0A">
        <w:t>feltehetően</w:t>
      </w:r>
      <w:r w:rsidR="00A50C0A" w:rsidRPr="00A50C0A">
        <w:t xml:space="preserve"> levelezős hallgatók</w:t>
      </w:r>
      <w:r w:rsidR="00A50C0A">
        <w:t>.</w:t>
      </w:r>
    </w:p>
    <w:p w:rsidR="00F331F6" w:rsidRPr="00A50C0A" w:rsidRDefault="00F331F6" w:rsidP="00F331F6">
      <w:pPr>
        <w:ind w:firstLine="284"/>
      </w:pPr>
      <w:r w:rsidRPr="00A50C0A">
        <w:t xml:space="preserve">A tanítási szándék, életkor kereszttábla szerinti megoszlása arra utal, hogy a 109 főből – akik nem </w:t>
      </w:r>
      <w:r w:rsidRPr="00A50C0A">
        <w:rPr>
          <w:bCs/>
        </w:rPr>
        <w:t>terveznek</w:t>
      </w:r>
      <w:r w:rsidRPr="00A50C0A">
        <w:t xml:space="preserve"> a jövőben tanítani – 104-en a 18-23 éves korosztályból való. A </w:t>
      </w:r>
      <w:r w:rsidRPr="00A50C0A">
        <w:rPr>
          <w:bCs/>
        </w:rPr>
        <w:t>korcsoportot</w:t>
      </w:r>
      <w:r w:rsidRPr="00A50C0A">
        <w:t xml:space="preserve"> tekintve mindez azt jelent, hogy a csoportot alkotó 202-fő több mint fele, 51,5% </w:t>
      </w:r>
      <w:r w:rsidRPr="00A50C0A">
        <w:rPr>
          <w:bCs/>
        </w:rPr>
        <w:t>véleményét tükrözi</w:t>
      </w:r>
      <w:r w:rsidRPr="00A50C0A">
        <w:t>. A 36 év felettiek 90,2%-a gyakorló pedagógus.</w:t>
      </w:r>
    </w:p>
    <w:p w:rsidR="00F331F6" w:rsidRPr="00A50C0A" w:rsidRDefault="00334AA9" w:rsidP="00F331F6">
      <w:pPr>
        <w:ind w:firstLine="284"/>
      </w:pPr>
      <w:r>
        <w:t>Elgondolkodtató,</w:t>
      </w:r>
      <w:r w:rsidR="00F331F6" w:rsidRPr="00A50C0A">
        <w:t xml:space="preserve"> hogy </w:t>
      </w:r>
      <w:r>
        <w:t xml:space="preserve">a fiatal korosztály körében </w:t>
      </w:r>
      <w:r w:rsidR="00F331F6" w:rsidRPr="00A50C0A">
        <w:t xml:space="preserve">miért nem </w:t>
      </w:r>
      <w:r w:rsidR="00F331F6" w:rsidRPr="00A50C0A">
        <w:rPr>
          <w:bCs/>
        </w:rPr>
        <w:t>vonzó</w:t>
      </w:r>
      <w:r>
        <w:t xml:space="preserve"> a pedagógus pálya? Hogyan tehető azzá?</w:t>
      </w:r>
    </w:p>
    <w:p w:rsidR="00F331F6" w:rsidRPr="00A50C0A" w:rsidRDefault="00F331F6" w:rsidP="00F331F6">
      <w:pPr>
        <w:ind w:firstLine="284"/>
      </w:pPr>
      <w:r w:rsidRPr="00A50C0A">
        <w:t xml:space="preserve">A kereszttáblában kapott eredmény </w:t>
      </w:r>
      <w:r w:rsidRPr="00A50C0A">
        <w:rPr>
          <w:bCs/>
        </w:rPr>
        <w:t>szignifikáns</w:t>
      </w:r>
      <w:r w:rsidRPr="00A50C0A">
        <w:t xml:space="preserve"> (χ</w:t>
      </w:r>
      <w:r w:rsidRPr="00A50C0A">
        <w:rPr>
          <w:vertAlign w:val="superscript"/>
        </w:rPr>
        <w:t>2</w:t>
      </w:r>
      <w:r w:rsidRPr="00A50C0A">
        <w:t xml:space="preserve">=142,312; p=0,000&lt;0,05). </w:t>
      </w:r>
      <w:r w:rsidRPr="00A50C0A">
        <w:rPr>
          <w:bCs/>
        </w:rPr>
        <w:t>Felfedezhető összefüggés az életkor és a tanítási szándék között.</w:t>
      </w:r>
    </w:p>
    <w:p w:rsidR="00F331F6" w:rsidRDefault="00F331F6" w:rsidP="00F331F6">
      <w:pPr>
        <w:ind w:firstLine="284"/>
      </w:pPr>
    </w:p>
    <w:p w:rsidR="00334AA9" w:rsidRDefault="00F331F6" w:rsidP="00334AA9">
      <w:pPr>
        <w:keepNext/>
        <w:ind w:firstLine="284"/>
        <w:jc w:val="center"/>
      </w:pPr>
      <w:r w:rsidRPr="00F331F6">
        <w:rPr>
          <w:noProof/>
          <w:lang w:eastAsia="hu-HU"/>
        </w:rPr>
        <w:drawing>
          <wp:inline distT="0" distB="0" distL="0" distR="0" wp14:anchorId="6277242C" wp14:editId="0FB38E38">
            <wp:extent cx="3966678" cy="3852000"/>
            <wp:effectExtent l="0" t="0" r="0" b="0"/>
            <wp:docPr id="2050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Kép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678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31F6" w:rsidRPr="00F7222B" w:rsidRDefault="00334AA9" w:rsidP="00334AA9">
      <w:pPr>
        <w:pStyle w:val="Kpalrs"/>
        <w:jc w:val="center"/>
        <w:rPr>
          <w:color w:val="auto"/>
          <w:sz w:val="24"/>
        </w:rPr>
      </w:pPr>
      <w:r w:rsidRPr="00F7222B">
        <w:rPr>
          <w:color w:val="auto"/>
          <w:sz w:val="24"/>
        </w:rPr>
        <w:fldChar w:fldCharType="begin"/>
      </w:r>
      <w:r w:rsidRPr="00F7222B">
        <w:rPr>
          <w:color w:val="auto"/>
          <w:sz w:val="24"/>
        </w:rPr>
        <w:instrText xml:space="preserve"> SEQ ábra \* ARABIC </w:instrText>
      </w:r>
      <w:r w:rsidRPr="00F7222B">
        <w:rPr>
          <w:color w:val="auto"/>
          <w:sz w:val="24"/>
        </w:rPr>
        <w:fldChar w:fldCharType="separate"/>
      </w:r>
      <w:r w:rsidR="00B8781A">
        <w:rPr>
          <w:noProof/>
          <w:color w:val="auto"/>
          <w:sz w:val="24"/>
        </w:rPr>
        <w:t>2</w:t>
      </w:r>
      <w:r w:rsidRPr="00F7222B">
        <w:rPr>
          <w:color w:val="auto"/>
          <w:sz w:val="24"/>
        </w:rPr>
        <w:fldChar w:fldCharType="end"/>
      </w:r>
      <w:r w:rsidRPr="00F7222B">
        <w:rPr>
          <w:color w:val="auto"/>
          <w:sz w:val="24"/>
        </w:rPr>
        <w:t>. ábra Életkor-Tanítási szándék</w:t>
      </w:r>
      <w:r w:rsidR="00877EFC" w:rsidRPr="00F7222B">
        <w:rPr>
          <w:color w:val="auto"/>
          <w:sz w:val="24"/>
        </w:rPr>
        <w:t xml:space="preserve"> kereszttábla</w:t>
      </w:r>
    </w:p>
    <w:p w:rsidR="00F331F6" w:rsidRDefault="00F331F6" w:rsidP="00877EFC">
      <w:pPr>
        <w:pStyle w:val="alcim2"/>
      </w:pPr>
      <w:r w:rsidRPr="00F331F6">
        <w:lastRenderedPageBreak/>
        <w:t>Szakkönyvek hagyományos és elektronikus formában történő olvasása</w:t>
      </w:r>
    </w:p>
    <w:p w:rsidR="00F331F6" w:rsidRPr="00877EFC" w:rsidRDefault="001777BA" w:rsidP="00F331F6">
      <w:pPr>
        <w:ind w:firstLine="284"/>
      </w:pPr>
      <w:r>
        <w:rPr>
          <w:bCs/>
        </w:rPr>
        <w:t>A vi</w:t>
      </w:r>
      <w:r w:rsidR="00F331F6" w:rsidRPr="00877EFC">
        <w:rPr>
          <w:bCs/>
        </w:rPr>
        <w:t xml:space="preserve">zsgálat </w:t>
      </w:r>
      <w:r w:rsidR="005B3EAE">
        <w:rPr>
          <w:bCs/>
        </w:rPr>
        <w:t>központi kérdéskörébe tartozott</w:t>
      </w:r>
      <w:r w:rsidR="00F331F6" w:rsidRPr="00877EFC">
        <w:rPr>
          <w:bCs/>
        </w:rPr>
        <w:t xml:space="preserve"> a hallgatók olvasottságának, tájékozottságának, a digitális világban való eligazodáshoz szükséges háttérműveltség</w:t>
      </w:r>
      <w:r w:rsidR="005B3EAE">
        <w:rPr>
          <w:bCs/>
        </w:rPr>
        <w:t>ének</w:t>
      </w:r>
      <w:r w:rsidR="00F331F6" w:rsidRPr="00877EFC">
        <w:rPr>
          <w:bCs/>
        </w:rPr>
        <w:t xml:space="preserve"> felmérése.</w:t>
      </w:r>
    </w:p>
    <w:p w:rsidR="00F331F6" w:rsidRPr="00877EFC" w:rsidRDefault="005B3EAE" w:rsidP="00F331F6">
      <w:pPr>
        <w:ind w:firstLine="284"/>
      </w:pPr>
      <w:r>
        <w:t>Megkérdeztük</w:t>
      </w:r>
      <w:r w:rsidR="00F331F6" w:rsidRPr="00877EFC">
        <w:t xml:space="preserve">, hogy milyen rendszerességgel szokott </w:t>
      </w:r>
      <w:r w:rsidR="00F331F6" w:rsidRPr="00877EFC">
        <w:rPr>
          <w:bCs/>
        </w:rPr>
        <w:t xml:space="preserve">szakmai jellegű könyveket </w:t>
      </w:r>
      <w:r w:rsidR="00F331F6" w:rsidRPr="00877EFC">
        <w:t>olvasni hagyományos és elektronikus formában? Az eredményeket összességében tekintve mindkét esetben elszomorítóak, ritkán forgatnak szakmai jellegű könyveket a hallgatók.</w:t>
      </w:r>
      <w:r>
        <w:t xml:space="preserve"> (3. ábra)</w:t>
      </w:r>
    </w:p>
    <w:p w:rsidR="00F331F6" w:rsidRPr="00877EFC" w:rsidRDefault="00F331F6" w:rsidP="00F331F6">
      <w:pPr>
        <w:ind w:firstLine="284"/>
      </w:pPr>
      <w:r w:rsidRPr="00877EFC">
        <w:rPr>
          <w:bCs/>
        </w:rPr>
        <w:t>Hipotézisünk</w:t>
      </w:r>
      <w:r w:rsidRPr="00877EFC">
        <w:t xml:space="preserve"> volt, hogy elektronikus formában történő olvasás gyakorisába nagyobb lesz.</w:t>
      </w:r>
    </w:p>
    <w:p w:rsidR="00F331F6" w:rsidRPr="00877EFC" w:rsidRDefault="00F331F6" w:rsidP="00F331F6">
      <w:pPr>
        <w:ind w:firstLine="284"/>
      </w:pPr>
      <w:r w:rsidRPr="00877EFC">
        <w:rPr>
          <w:bCs/>
        </w:rPr>
        <w:t>Hagyományos könyvek</w:t>
      </w:r>
      <w:r w:rsidRPr="00877EFC">
        <w:t xml:space="preserve"> esetében a minta 41,9%-a csupán havi gyakorisággal olvas. Az első és 3. korosztály közel 20%-a, a második 30%-a sohasem olvas szakkönyvet ilyen formában. A hagyományos könyv</w:t>
      </w:r>
      <w:r w:rsidR="00FF7A1A">
        <w:t>eket</w:t>
      </w:r>
      <w:r w:rsidRPr="00877EFC">
        <w:t xml:space="preserve"> a 36 év felettiek</w:t>
      </w:r>
      <w:r w:rsidR="00FF7A1A">
        <w:t xml:space="preserve"> olvassák leginkább</w:t>
      </w:r>
      <w:r w:rsidRPr="00877EFC">
        <w:t xml:space="preserve">, bár a kereszttábla elemzés alapján érzékelhető, hogy ebben a korosztályban nagyobb a heti, havi olvasási gyakoriság a fiatalabb korosztállyal szemben. Az eredmény </w:t>
      </w:r>
      <w:r w:rsidRPr="00877EFC">
        <w:rPr>
          <w:bCs/>
        </w:rPr>
        <w:t>szignifikáns</w:t>
      </w:r>
      <w:r w:rsidRPr="00877EFC">
        <w:t xml:space="preserve"> (χ</w:t>
      </w:r>
      <w:r w:rsidRPr="00877EFC">
        <w:rPr>
          <w:vertAlign w:val="superscript"/>
        </w:rPr>
        <w:t>2</w:t>
      </w:r>
      <w:r w:rsidRPr="00877EFC">
        <w:t>=54,026; p=0,000&lt;0,05)</w:t>
      </w:r>
    </w:p>
    <w:p w:rsidR="00F331F6" w:rsidRPr="00877EFC" w:rsidRDefault="00F331F6" w:rsidP="00F331F6">
      <w:pPr>
        <w:ind w:firstLine="284"/>
      </w:pPr>
      <w:r w:rsidRPr="00877EFC">
        <w:rPr>
          <w:bCs/>
        </w:rPr>
        <w:t xml:space="preserve">Szakmai jellegű könyveket </w:t>
      </w:r>
      <w:r w:rsidRPr="00877EFC">
        <w:t>elektronikus f</w:t>
      </w:r>
      <w:r w:rsidR="0047240D">
        <w:t>ormában szintén ritkán olvassák</w:t>
      </w:r>
      <w:r w:rsidRPr="00877EFC">
        <w:t xml:space="preserve">, havi gyakorisággal a minta 31%-a. Az első három korosztály (18-35 évesek) leginkább ebben a formában is havonta </w:t>
      </w:r>
      <w:r w:rsidR="0047240D">
        <w:t xml:space="preserve">olvasnak ilyen témájú könyvet. </w:t>
      </w:r>
      <w:r w:rsidRPr="00877EFC">
        <w:t xml:space="preserve">Mindenképpen pozitív, hogy a 2. és 3. </w:t>
      </w:r>
      <w:r w:rsidR="00A50C0A" w:rsidRPr="00877EFC">
        <w:t>korcsoport (24-35 évesek)</w:t>
      </w:r>
      <w:r w:rsidRPr="00877EFC">
        <w:t xml:space="preserve"> közül senki nem jelölte be, hogy ne olvasna (valamilyen gyakorisággal) elektronikus szakirodalmat. Megfigyelhető továbbá, hogy A 36 év felettiek között a napi szintű olvasás az elekt</w:t>
      </w:r>
      <w:r w:rsidR="0047240D">
        <w:t>r</w:t>
      </w:r>
      <w:r w:rsidRPr="00877EFC">
        <w:t xml:space="preserve">omos formában is a legmagasabb. Azonos számban olvasnak hetente többször és havonta. Az eredmény </w:t>
      </w:r>
      <w:r w:rsidRPr="00877EFC">
        <w:rPr>
          <w:bCs/>
        </w:rPr>
        <w:t>nem szignifikáns</w:t>
      </w:r>
      <w:r w:rsidRPr="00877EFC">
        <w:t xml:space="preserve"> </w:t>
      </w:r>
      <w:r w:rsidRPr="00877EFC">
        <w:rPr>
          <w:bCs/>
        </w:rPr>
        <w:t>(de közel áll a szignifikanciához)</w:t>
      </w:r>
      <w:r w:rsidRPr="00877EFC">
        <w:t>, mivel χ</w:t>
      </w:r>
      <w:r w:rsidRPr="00877EFC">
        <w:rPr>
          <w:vertAlign w:val="superscript"/>
        </w:rPr>
        <w:t>2</w:t>
      </w:r>
      <w:r w:rsidRPr="00877EFC">
        <w:t>=24,065; p=0,064&gt;0,05.</w:t>
      </w:r>
    </w:p>
    <w:p w:rsidR="00F331F6" w:rsidRDefault="00F331F6" w:rsidP="00F331F6">
      <w:pPr>
        <w:ind w:firstLine="284"/>
      </w:pPr>
      <w:r w:rsidRPr="00877EFC">
        <w:t xml:space="preserve">Megfigyelhető, hogy a szakkönyvek </w:t>
      </w:r>
      <w:r w:rsidRPr="00877EFC">
        <w:rPr>
          <w:bCs/>
        </w:rPr>
        <w:t>rendszeres olvasása</w:t>
      </w:r>
      <w:r w:rsidRPr="00877EFC">
        <w:t xml:space="preserve"> nagyobb gyakorisággal t</w:t>
      </w:r>
      <w:r w:rsidR="001B2535">
        <w:t xml:space="preserve">örténik elektronikus formában. </w:t>
      </w:r>
      <w:r w:rsidRPr="00877EFC">
        <w:t>Az első három korosztályban szembetűnő, hogy ha hagyományos formában nem is, de elektronikusan forg</w:t>
      </w:r>
      <w:r w:rsidR="001B2535">
        <w:t>atnak szakkönyveket (Naponta: hagyományos</w:t>
      </w:r>
      <w:r w:rsidRPr="00877EFC">
        <w:t xml:space="preserve"> 15</w:t>
      </w:r>
      <w:r w:rsidR="001B2535">
        <w:t xml:space="preserve"> fő, elektronikus</w:t>
      </w:r>
      <w:r w:rsidRPr="00877EFC">
        <w:t>: 33</w:t>
      </w:r>
      <w:r w:rsidR="001B2535">
        <w:t xml:space="preserve"> fő; Hetente többször: hagyományos</w:t>
      </w:r>
      <w:r w:rsidRPr="00877EFC">
        <w:t xml:space="preserve"> 31</w:t>
      </w:r>
      <w:r w:rsidR="001B2535">
        <w:t xml:space="preserve"> fő, elektronikus </w:t>
      </w:r>
      <w:r w:rsidRPr="00877EFC">
        <w:t>58</w:t>
      </w:r>
      <w:r w:rsidR="001B2535">
        <w:t xml:space="preserve"> fő</w:t>
      </w:r>
      <w:r w:rsidRPr="00877EFC">
        <w:t>). Hipotézisünk beigazolódott, hiszen a naponta, vagy hetente olvasók körében az elektronikus, míg a havonta olvasók k</w:t>
      </w:r>
      <w:r w:rsidR="00EA3163">
        <w:t>örében a hagyományos forma áll.</w:t>
      </w:r>
    </w:p>
    <w:p w:rsidR="00EA3163" w:rsidRPr="00877EFC" w:rsidRDefault="00EA3163" w:rsidP="00F331F6">
      <w:pPr>
        <w:ind w:firstLine="284"/>
      </w:pPr>
    </w:p>
    <w:p w:rsidR="005B3EAE" w:rsidRDefault="00F331F6" w:rsidP="005B3EAE">
      <w:pPr>
        <w:keepNext/>
        <w:ind w:left="-284"/>
        <w:jc w:val="center"/>
      </w:pPr>
      <w:r w:rsidRPr="00F331F6">
        <w:rPr>
          <w:noProof/>
          <w:lang w:eastAsia="hu-HU"/>
        </w:rPr>
        <w:drawing>
          <wp:inline distT="0" distB="0" distL="0" distR="0" wp14:anchorId="62C0E0C4" wp14:editId="1C7BB96A">
            <wp:extent cx="6061039" cy="2448000"/>
            <wp:effectExtent l="0" t="0" r="0" b="0"/>
            <wp:docPr id="5" name="Tartalom hely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rtalom helye 4"/>
                    <pic:cNvPicPr>
                      <a:picLocks noGrp="1"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039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1F6" w:rsidRPr="00F7222B" w:rsidRDefault="005B3EAE" w:rsidP="005B3EAE">
      <w:pPr>
        <w:pStyle w:val="Kpalrs"/>
        <w:jc w:val="center"/>
        <w:rPr>
          <w:color w:val="auto"/>
          <w:sz w:val="24"/>
          <w:szCs w:val="24"/>
        </w:rPr>
      </w:pPr>
      <w:r w:rsidRPr="00F7222B">
        <w:rPr>
          <w:color w:val="auto"/>
          <w:sz w:val="24"/>
          <w:szCs w:val="24"/>
        </w:rPr>
        <w:fldChar w:fldCharType="begin"/>
      </w:r>
      <w:r w:rsidRPr="00F7222B">
        <w:rPr>
          <w:color w:val="auto"/>
          <w:sz w:val="24"/>
          <w:szCs w:val="24"/>
        </w:rPr>
        <w:instrText xml:space="preserve"> SEQ ábra \* ARABIC </w:instrText>
      </w:r>
      <w:r w:rsidRPr="00F7222B">
        <w:rPr>
          <w:color w:val="auto"/>
          <w:sz w:val="24"/>
          <w:szCs w:val="24"/>
        </w:rPr>
        <w:fldChar w:fldCharType="separate"/>
      </w:r>
      <w:r w:rsidR="00B8781A">
        <w:rPr>
          <w:noProof/>
          <w:color w:val="auto"/>
          <w:sz w:val="24"/>
          <w:szCs w:val="24"/>
        </w:rPr>
        <w:t>3</w:t>
      </w:r>
      <w:r w:rsidRPr="00F7222B">
        <w:rPr>
          <w:color w:val="auto"/>
          <w:sz w:val="24"/>
          <w:szCs w:val="24"/>
        </w:rPr>
        <w:fldChar w:fldCharType="end"/>
      </w:r>
      <w:r w:rsidRPr="00F7222B">
        <w:rPr>
          <w:color w:val="auto"/>
          <w:sz w:val="24"/>
          <w:szCs w:val="24"/>
        </w:rPr>
        <w:t>. ábra Szakkönyvek olvasása hagyományos és elektronikus formában</w:t>
      </w:r>
    </w:p>
    <w:p w:rsidR="00F331F6" w:rsidRDefault="00F331F6" w:rsidP="00187805">
      <w:pPr>
        <w:pStyle w:val="alcim2"/>
      </w:pPr>
      <w:r w:rsidRPr="00F331F6">
        <w:t>Idegen nyelvű szakkönyvek hagyományos és elektronikus formában történő olvasása</w:t>
      </w:r>
    </w:p>
    <w:p w:rsidR="002639E0" w:rsidRDefault="00F331F6" w:rsidP="00F331F6">
      <w:pPr>
        <w:ind w:firstLine="284"/>
      </w:pPr>
      <w:r w:rsidRPr="00F331F6">
        <w:t>Idegen nyelvű szakirodalom olvasása</w:t>
      </w:r>
      <w:r w:rsidR="00187805">
        <w:t xml:space="preserve"> (4. ábra)</w:t>
      </w:r>
      <w:r w:rsidRPr="00F331F6">
        <w:t xml:space="preserve"> kapcsán is hasonló eredményre jutottunk, a minta csupán 24.4%-a olvas hagyományos, elektronikus formában viszont 57, 4%-a olvas korosztálytól függetlenül. A kapott eredmény hagyományos formában </w:t>
      </w:r>
      <w:r w:rsidRPr="00187805">
        <w:rPr>
          <w:bCs/>
        </w:rPr>
        <w:t>nem</w:t>
      </w:r>
      <w:r w:rsidRPr="00F331F6">
        <w:t xml:space="preserve"> (χ</w:t>
      </w:r>
      <w:r w:rsidRPr="00F331F6">
        <w:rPr>
          <w:vertAlign w:val="superscript"/>
        </w:rPr>
        <w:t>2</w:t>
      </w:r>
      <w:r w:rsidRPr="00F331F6">
        <w:t xml:space="preserve">=2,537; p=0,864&gt;0,05), de elektronikus formai vizsgálat esetében </w:t>
      </w:r>
      <w:r w:rsidRPr="00187805">
        <w:rPr>
          <w:bCs/>
        </w:rPr>
        <w:t>szignifikáns</w:t>
      </w:r>
      <w:r w:rsidRPr="00F331F6">
        <w:t xml:space="preserve"> (χ</w:t>
      </w:r>
      <w:r w:rsidRPr="00F331F6">
        <w:rPr>
          <w:vertAlign w:val="superscript"/>
        </w:rPr>
        <w:t>2</w:t>
      </w:r>
      <w:r w:rsidRPr="00F331F6">
        <w:t>=18,178; p=0,006&lt;0,05).</w:t>
      </w:r>
    </w:p>
    <w:tbl>
      <w:tblPr>
        <w:tblStyle w:val="Rcsostblzat"/>
        <w:tblW w:w="9745" w:type="dxa"/>
        <w:jc w:val="center"/>
        <w:tblLook w:val="04A0" w:firstRow="1" w:lastRow="0" w:firstColumn="1" w:lastColumn="0" w:noHBand="0" w:noVBand="1"/>
      </w:tblPr>
      <w:tblGrid>
        <w:gridCol w:w="4806"/>
        <w:gridCol w:w="4939"/>
      </w:tblGrid>
      <w:tr w:rsidR="00187805" w:rsidTr="00EA3163">
        <w:trPr>
          <w:jc w:val="center"/>
        </w:trPr>
        <w:tc>
          <w:tcPr>
            <w:tcW w:w="4806" w:type="dxa"/>
          </w:tcPr>
          <w:p w:rsidR="00187805" w:rsidRDefault="00187805" w:rsidP="00F331F6">
            <w:r w:rsidRPr="00F331F6">
              <w:rPr>
                <w:noProof/>
                <w:lang w:eastAsia="hu-HU"/>
              </w:rPr>
              <w:lastRenderedPageBreak/>
              <w:drawing>
                <wp:inline distT="0" distB="0" distL="0" distR="0" wp14:anchorId="6F2F1820" wp14:editId="7CBD6DA5">
                  <wp:extent cx="2914037" cy="3024000"/>
                  <wp:effectExtent l="0" t="0" r="635" b="5080"/>
                  <wp:docPr id="6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ép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037" cy="30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</w:tcPr>
          <w:p w:rsidR="00187805" w:rsidRDefault="00187805" w:rsidP="00187805">
            <w:pPr>
              <w:keepNext/>
            </w:pPr>
            <w:r w:rsidRPr="00F331F6">
              <w:rPr>
                <w:noProof/>
                <w:lang w:eastAsia="hu-HU"/>
              </w:rPr>
              <w:drawing>
                <wp:inline distT="0" distB="0" distL="0" distR="0" wp14:anchorId="5ACE5086" wp14:editId="37F407A9">
                  <wp:extent cx="2999119" cy="3024000"/>
                  <wp:effectExtent l="0" t="0" r="0" b="5080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119" cy="30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9E0" w:rsidRPr="00F7222B" w:rsidRDefault="00187805" w:rsidP="00187805">
      <w:pPr>
        <w:pStyle w:val="Kpalrs"/>
        <w:jc w:val="center"/>
        <w:rPr>
          <w:color w:val="auto"/>
          <w:sz w:val="24"/>
        </w:rPr>
      </w:pPr>
      <w:r w:rsidRPr="00F7222B">
        <w:rPr>
          <w:color w:val="auto"/>
          <w:sz w:val="24"/>
        </w:rPr>
        <w:fldChar w:fldCharType="begin"/>
      </w:r>
      <w:r w:rsidRPr="00F7222B">
        <w:rPr>
          <w:color w:val="auto"/>
          <w:sz w:val="24"/>
        </w:rPr>
        <w:instrText xml:space="preserve"> SEQ ábra \* ARABIC </w:instrText>
      </w:r>
      <w:r w:rsidRPr="00F7222B">
        <w:rPr>
          <w:color w:val="auto"/>
          <w:sz w:val="24"/>
        </w:rPr>
        <w:fldChar w:fldCharType="separate"/>
      </w:r>
      <w:r w:rsidR="00B8781A">
        <w:rPr>
          <w:noProof/>
          <w:color w:val="auto"/>
          <w:sz w:val="24"/>
        </w:rPr>
        <w:t>4</w:t>
      </w:r>
      <w:r w:rsidRPr="00F7222B">
        <w:rPr>
          <w:color w:val="auto"/>
          <w:sz w:val="24"/>
        </w:rPr>
        <w:fldChar w:fldCharType="end"/>
      </w:r>
      <w:r w:rsidRPr="00F7222B">
        <w:rPr>
          <w:color w:val="auto"/>
          <w:sz w:val="24"/>
        </w:rPr>
        <w:t>. ábra Idegen szakirodalom olvasása elektronikus és hagyományos formában</w:t>
      </w:r>
    </w:p>
    <w:p w:rsidR="002639E0" w:rsidRDefault="002639E0" w:rsidP="00EA3163">
      <w:pPr>
        <w:pStyle w:val="alcim2"/>
      </w:pPr>
      <w:r w:rsidRPr="002639E0">
        <w:t>Elektronikus tanulmányok olvasási gyakorisága</w:t>
      </w:r>
    </w:p>
    <w:p w:rsidR="002639E0" w:rsidRPr="00EA3163" w:rsidRDefault="002639E0" w:rsidP="002639E0">
      <w:pPr>
        <w:ind w:firstLine="284"/>
      </w:pPr>
      <w:r w:rsidRPr="00EA3163">
        <w:rPr>
          <w:bCs/>
        </w:rPr>
        <w:t>Az elektronikus formában történő olvasás kiterjesztésre került a következő témákra</w:t>
      </w:r>
      <w:r w:rsidRPr="00EA3163">
        <w:t xml:space="preserve">: szaktantárgyi anyagok, pedagógiai/módszertani szakirodalom, e-learning tananyagok, IKT újdonságok, konferencia előadások kivonata. </w:t>
      </w:r>
    </w:p>
    <w:p w:rsidR="002639E0" w:rsidRPr="002639E0" w:rsidRDefault="002639E0" w:rsidP="002639E0">
      <w:pPr>
        <w:ind w:firstLine="284"/>
      </w:pPr>
      <w:r w:rsidRPr="002639E0">
        <w:t>A ha</w:t>
      </w:r>
      <w:r w:rsidR="00EA3163">
        <w:t xml:space="preserve">lmozott oszlopdiagram szemlélteti, hogy </w:t>
      </w:r>
      <w:r w:rsidRPr="002639E0">
        <w:t>a kitöltők 61,6%-a sohasem olvas konferencia előadások anyagát, és közel 60%-a pedagógiai/szakmódszertani irodalmat</w:t>
      </w:r>
      <w:r w:rsidR="00EA3163">
        <w:t xml:space="preserve"> sem</w:t>
      </w:r>
      <w:r w:rsidRPr="002639E0">
        <w:t>. Napi szinten legtöbbször a szaktárgyi anyagokat tanulmányozzák (14,7%-ban), míg hetente több al</w:t>
      </w:r>
      <w:r w:rsidR="0005412E">
        <w:t>kalommal az e-learninges anyagokat</w:t>
      </w:r>
      <w:r w:rsidRPr="002639E0">
        <w:t xml:space="preserve"> (21,3%-al). Havi szinten az első helyen az e-learning tananyagok állnak, amelyet az I</w:t>
      </w:r>
      <w:r w:rsidR="001B7C88">
        <w:t>KT újdonságok (31,4%) követnek.</w:t>
      </w:r>
    </w:p>
    <w:p w:rsidR="002639E0" w:rsidRDefault="002639E0" w:rsidP="002639E0">
      <w:pPr>
        <w:ind w:firstLine="284"/>
        <w:rPr>
          <w:bCs/>
        </w:rPr>
      </w:pPr>
      <w:r w:rsidRPr="00EA3163">
        <w:rPr>
          <w:bCs/>
        </w:rPr>
        <w:t>Az IKT újdonságokat nézve érdekes megfigyelni, hogy bár a kitöltők 40,3%-a sohasem olvas ilye</w:t>
      </w:r>
      <w:r w:rsidR="001B7C88">
        <w:rPr>
          <w:bCs/>
        </w:rPr>
        <w:t xml:space="preserve">n jellegű tanulmányokat, mégis </w:t>
      </w:r>
      <w:r w:rsidR="001B7C88" w:rsidRPr="002639E0">
        <w:t>mégis „a tanári munka eredményességét segíti” kérdéskörben a legmagasabb helyen a „mélyebb IKT ismeretek” és a „tanulmányok és tapasztalatok” állnak.</w:t>
      </w:r>
    </w:p>
    <w:p w:rsidR="00EA3163" w:rsidRDefault="002639E0" w:rsidP="00EA3163">
      <w:pPr>
        <w:keepNext/>
        <w:ind w:firstLine="284"/>
        <w:jc w:val="center"/>
      </w:pPr>
      <w:r w:rsidRPr="002639E0">
        <w:rPr>
          <w:noProof/>
          <w:lang w:eastAsia="hu-HU"/>
        </w:rPr>
        <w:lastRenderedPageBreak/>
        <w:drawing>
          <wp:inline distT="0" distB="0" distL="0" distR="0" wp14:anchorId="6E68E2A5" wp14:editId="48CBBD4A">
            <wp:extent cx="4825206" cy="3060000"/>
            <wp:effectExtent l="0" t="0" r="0" b="7620"/>
            <wp:docPr id="4098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Kép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206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39E0" w:rsidRPr="00F7222B" w:rsidRDefault="00EA3163" w:rsidP="00EA3163">
      <w:pPr>
        <w:pStyle w:val="Kpalrs"/>
        <w:jc w:val="center"/>
        <w:rPr>
          <w:color w:val="auto"/>
          <w:sz w:val="24"/>
        </w:rPr>
      </w:pPr>
      <w:r w:rsidRPr="00F7222B">
        <w:rPr>
          <w:color w:val="auto"/>
          <w:sz w:val="24"/>
        </w:rPr>
        <w:fldChar w:fldCharType="begin"/>
      </w:r>
      <w:r w:rsidRPr="00F7222B">
        <w:rPr>
          <w:color w:val="auto"/>
          <w:sz w:val="24"/>
        </w:rPr>
        <w:instrText xml:space="preserve"> SEQ ábra \* ARABIC </w:instrText>
      </w:r>
      <w:r w:rsidRPr="00F7222B">
        <w:rPr>
          <w:color w:val="auto"/>
          <w:sz w:val="24"/>
        </w:rPr>
        <w:fldChar w:fldCharType="separate"/>
      </w:r>
      <w:r w:rsidR="00B8781A">
        <w:rPr>
          <w:noProof/>
          <w:color w:val="auto"/>
          <w:sz w:val="24"/>
        </w:rPr>
        <w:t>5</w:t>
      </w:r>
      <w:r w:rsidRPr="00F7222B">
        <w:rPr>
          <w:color w:val="auto"/>
          <w:sz w:val="24"/>
        </w:rPr>
        <w:fldChar w:fldCharType="end"/>
      </w:r>
      <w:r w:rsidRPr="00F7222B">
        <w:rPr>
          <w:color w:val="auto"/>
          <w:sz w:val="24"/>
        </w:rPr>
        <w:t>. ábra Elektronikus tanulmányok olvasási gyakorisága</w:t>
      </w:r>
    </w:p>
    <w:p w:rsidR="002639E0" w:rsidRDefault="002639E0" w:rsidP="001B7C88">
      <w:pPr>
        <w:pStyle w:val="alcim2"/>
      </w:pPr>
      <w:r w:rsidRPr="002639E0">
        <w:t>Eredményes tanári munka eszközei</w:t>
      </w:r>
    </w:p>
    <w:p w:rsidR="002639E0" w:rsidRPr="002639E0" w:rsidRDefault="002639E0" w:rsidP="002639E0">
      <w:pPr>
        <w:ind w:firstLine="284"/>
      </w:pPr>
      <w:r w:rsidRPr="002639E0">
        <w:t>Eszerint a tanulmányaik során szerzett IKT ismereteket úgy érzik, fel fogják tudni használni a munkájuk során, de nem éreznek késztetést, hogy maguktól nézzenek utána. Csak</w:t>
      </w:r>
      <w:r w:rsidR="00EE351F">
        <w:t xml:space="preserve"> ha felkeltik rá a figyelmüket. </w:t>
      </w:r>
      <w:r w:rsidRPr="002639E0">
        <w:t>A „módszertani kompetenciák ismerete” mellett az „elektronikus tesztek, feladatlapok automatikus elektronikus értékelése”-t is jónak tartják, ami megvalósítása szintén IKT eszközöket igényel.</w:t>
      </w:r>
      <w:r w:rsidR="00EE351F">
        <w:t xml:space="preserve"> </w:t>
      </w:r>
      <w:r w:rsidRPr="002639E0">
        <w:t>Az új technológiák oktatásba történő importálása, lehet új módszerek</w:t>
      </w:r>
      <w:r w:rsidR="00EE351F">
        <w:t xml:space="preserve"> felé vinné a leendő oktatókat.</w:t>
      </w:r>
    </w:p>
    <w:p w:rsidR="00EE351F" w:rsidRDefault="002639E0" w:rsidP="00EE351F">
      <w:pPr>
        <w:keepNext/>
        <w:ind w:firstLine="284"/>
      </w:pPr>
      <w:r w:rsidRPr="002639E0">
        <w:rPr>
          <w:noProof/>
          <w:lang w:eastAsia="hu-HU"/>
        </w:rPr>
        <w:lastRenderedPageBreak/>
        <w:drawing>
          <wp:inline distT="0" distB="0" distL="0" distR="0" wp14:anchorId="2DF1F984" wp14:editId="36FE0350">
            <wp:extent cx="5760720" cy="4296961"/>
            <wp:effectExtent l="0" t="0" r="0" b="8890"/>
            <wp:docPr id="5122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Kép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39E0" w:rsidRPr="00C1173E" w:rsidRDefault="00EE351F" w:rsidP="00EE351F">
      <w:pPr>
        <w:pStyle w:val="Kpalrs"/>
        <w:jc w:val="center"/>
        <w:rPr>
          <w:color w:val="auto"/>
          <w:sz w:val="24"/>
        </w:rPr>
      </w:pPr>
      <w:r w:rsidRPr="00C1173E">
        <w:rPr>
          <w:color w:val="auto"/>
          <w:sz w:val="24"/>
        </w:rPr>
        <w:fldChar w:fldCharType="begin"/>
      </w:r>
      <w:r w:rsidRPr="00C1173E">
        <w:rPr>
          <w:color w:val="auto"/>
          <w:sz w:val="24"/>
        </w:rPr>
        <w:instrText xml:space="preserve"> SEQ ábra \* ARABIC </w:instrText>
      </w:r>
      <w:r w:rsidRPr="00C1173E">
        <w:rPr>
          <w:color w:val="auto"/>
          <w:sz w:val="24"/>
        </w:rPr>
        <w:fldChar w:fldCharType="separate"/>
      </w:r>
      <w:r w:rsidR="00B8781A">
        <w:rPr>
          <w:noProof/>
          <w:color w:val="auto"/>
          <w:sz w:val="24"/>
        </w:rPr>
        <w:t>6</w:t>
      </w:r>
      <w:r w:rsidRPr="00C1173E">
        <w:rPr>
          <w:color w:val="auto"/>
          <w:sz w:val="24"/>
        </w:rPr>
        <w:fldChar w:fldCharType="end"/>
      </w:r>
      <w:r w:rsidRPr="00C1173E">
        <w:rPr>
          <w:color w:val="auto"/>
          <w:sz w:val="24"/>
        </w:rPr>
        <w:t>. ábra Eredményes tanári munka eszközei</w:t>
      </w:r>
    </w:p>
    <w:p w:rsidR="002639E0" w:rsidRDefault="002639E0" w:rsidP="0094569F">
      <w:pPr>
        <w:pStyle w:val="alcim2"/>
        <w:rPr>
          <w:rFonts w:asciiTheme="minorHAnsi" w:eastAsiaTheme="minorEastAsia" w:hAnsi="Calibri"/>
          <w:color w:val="000000" w:themeColor="text1"/>
          <w:kern w:val="24"/>
          <w:szCs w:val="24"/>
          <w:lang w:eastAsia="hu-HU"/>
        </w:rPr>
      </w:pPr>
      <w:r w:rsidRPr="002639E0">
        <w:t>On-line tananyagok alkalmazása</w:t>
      </w:r>
    </w:p>
    <w:p w:rsidR="002639E0" w:rsidRPr="0094569F" w:rsidRDefault="002639E0" w:rsidP="002639E0">
      <w:pPr>
        <w:ind w:firstLine="284"/>
      </w:pPr>
      <w:r w:rsidRPr="002639E0">
        <w:t>A mintában részt vevő hallgatók a</w:t>
      </w:r>
      <w:r w:rsidR="0094569F">
        <w:t xml:space="preserve"> 7.</w:t>
      </w:r>
      <w:r w:rsidRPr="002639E0">
        <w:t xml:space="preserve"> ábrán látható, online tananyagok alkalmazására vonatkozó kérdéseket </w:t>
      </w:r>
      <w:r w:rsidRPr="0094569F">
        <w:rPr>
          <w:bCs/>
        </w:rPr>
        <w:t>véleményezték</w:t>
      </w:r>
      <w:r w:rsidRPr="0094569F">
        <w:t xml:space="preserve">. Válaszok alapján elmondható, hogy </w:t>
      </w:r>
      <w:r w:rsidRPr="0094569F">
        <w:rPr>
          <w:bCs/>
        </w:rPr>
        <w:t>a felsorolt tényezőket a hallgatók 41–50%-ra, vagyis jónak ítélték alkalmazásukat</w:t>
      </w:r>
      <w:r w:rsidRPr="0094569F">
        <w:t xml:space="preserve">, </w:t>
      </w:r>
      <w:r w:rsidRPr="0094569F">
        <w:rPr>
          <w:bCs/>
        </w:rPr>
        <w:t>életvitelükből kifolyólag szinte természetesnek</w:t>
      </w:r>
      <w:r w:rsidRPr="0094569F">
        <w:t>. Az online tananyagok alkalmazásának lehetőségeire a mintában részt vevő hallgatók nyitottak, nem tartják idegennek alkalmazásukat. Az alábbi táblázatból látható</w:t>
      </w:r>
      <w:r w:rsidR="0094569F">
        <w:t xml:space="preserve"> (1. táblázat)</w:t>
      </w:r>
      <w:r w:rsidRPr="0094569F">
        <w:t xml:space="preserve">, hogy: </w:t>
      </w:r>
      <w:r w:rsidRPr="0094569F">
        <w:rPr>
          <w:bCs/>
        </w:rPr>
        <w:t>„A tértől és időtől független elérhetőség” és elsajátíthatóság, a tananyag rugalmas, saját igényeknek megfelelő ütemben történő feldolgozás lehetősége könnyen beépíthetővé teszi a mindennapokba.</w:t>
      </w:r>
    </w:p>
    <w:p w:rsidR="002639E0" w:rsidRPr="0094569F" w:rsidRDefault="002639E0" w:rsidP="002639E0">
      <w:pPr>
        <w:ind w:firstLine="284"/>
      </w:pPr>
      <w:r w:rsidRPr="0094569F">
        <w:t xml:space="preserve">Ugyan akkor a hallgatók igénylik a </w:t>
      </w:r>
      <w:r w:rsidRPr="0094569F">
        <w:rPr>
          <w:bCs/>
        </w:rPr>
        <w:t>tanári kontrollt</w:t>
      </w:r>
      <w:r w:rsidRPr="0094569F">
        <w:t>, a lehetőséget, hogy bármikor segítséget kérhessenek és kapjanak a szakembertől.</w:t>
      </w:r>
    </w:p>
    <w:p w:rsidR="002639E0" w:rsidRDefault="002639E0" w:rsidP="00F331F6">
      <w:pPr>
        <w:ind w:firstLine="284"/>
      </w:pPr>
    </w:p>
    <w:p w:rsidR="0094569F" w:rsidRDefault="002639E0" w:rsidP="0094569F">
      <w:pPr>
        <w:keepNext/>
        <w:jc w:val="center"/>
      </w:pPr>
      <w:r w:rsidRPr="002639E0">
        <w:rPr>
          <w:noProof/>
          <w:lang w:eastAsia="hu-HU"/>
        </w:rPr>
        <w:lastRenderedPageBreak/>
        <w:drawing>
          <wp:inline distT="0" distB="0" distL="0" distR="0" wp14:anchorId="6CEEC878" wp14:editId="1F8D9197">
            <wp:extent cx="5830144" cy="4032000"/>
            <wp:effectExtent l="0" t="0" r="0" b="6985"/>
            <wp:docPr id="6146" name="Tartalom hely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Tartalom helye 3"/>
                    <pic:cNvPicPr>
                      <a:picLocks noGrp="1"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6" r="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44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39E0" w:rsidRPr="00C1173E" w:rsidRDefault="0094569F" w:rsidP="0094569F">
      <w:pPr>
        <w:pStyle w:val="Kpalrs"/>
        <w:jc w:val="center"/>
        <w:rPr>
          <w:color w:val="auto"/>
          <w:sz w:val="24"/>
        </w:rPr>
      </w:pPr>
      <w:r w:rsidRPr="00C1173E">
        <w:rPr>
          <w:color w:val="auto"/>
          <w:sz w:val="24"/>
        </w:rPr>
        <w:fldChar w:fldCharType="begin"/>
      </w:r>
      <w:r w:rsidRPr="00C1173E">
        <w:rPr>
          <w:color w:val="auto"/>
          <w:sz w:val="24"/>
        </w:rPr>
        <w:instrText xml:space="preserve"> SEQ ábra \* ARABIC </w:instrText>
      </w:r>
      <w:r w:rsidRPr="00C1173E">
        <w:rPr>
          <w:color w:val="auto"/>
          <w:sz w:val="24"/>
        </w:rPr>
        <w:fldChar w:fldCharType="separate"/>
      </w:r>
      <w:r w:rsidR="00B8781A">
        <w:rPr>
          <w:noProof/>
          <w:color w:val="auto"/>
          <w:sz w:val="24"/>
        </w:rPr>
        <w:t>7</w:t>
      </w:r>
      <w:r w:rsidRPr="00C1173E">
        <w:rPr>
          <w:color w:val="auto"/>
          <w:sz w:val="24"/>
        </w:rPr>
        <w:fldChar w:fldCharType="end"/>
      </w:r>
      <w:r w:rsidRPr="00C1173E">
        <w:rPr>
          <w:color w:val="auto"/>
          <w:sz w:val="24"/>
        </w:rPr>
        <w:t>. ábra On-line tananyagok alkalmazása</w:t>
      </w:r>
    </w:p>
    <w:p w:rsidR="00EE351F" w:rsidRDefault="00EE351F" w:rsidP="00EE351F">
      <w:pPr>
        <w:ind w:firstLine="284"/>
        <w:jc w:val="center"/>
      </w:pPr>
    </w:p>
    <w:tbl>
      <w:tblPr>
        <w:tblW w:w="6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1220"/>
        <w:gridCol w:w="1660"/>
      </w:tblGrid>
      <w:tr w:rsidR="002639E0" w:rsidRPr="002639E0" w:rsidTr="00EE351F">
        <w:trPr>
          <w:trHeight w:val="556"/>
          <w:jc w:val="center"/>
        </w:trPr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39E0" w:rsidRPr="002639E0" w:rsidRDefault="002639E0" w:rsidP="002639E0">
            <w:pPr>
              <w:ind w:firstLine="288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2639E0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Kérdés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39E0" w:rsidRPr="002639E0" w:rsidRDefault="002639E0" w:rsidP="002639E0">
            <w:pPr>
              <w:ind w:firstLine="288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2639E0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Jónak tartja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39E0" w:rsidRPr="002639E0" w:rsidRDefault="002639E0" w:rsidP="002639E0">
            <w:pPr>
              <w:ind w:firstLine="288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2639E0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Nagyon jónak tartja</w:t>
            </w:r>
          </w:p>
        </w:tc>
      </w:tr>
      <w:tr w:rsidR="002639E0" w:rsidRPr="002639E0" w:rsidTr="00EE351F">
        <w:trPr>
          <w:trHeight w:val="954"/>
          <w:jc w:val="center"/>
        </w:trPr>
        <w:tc>
          <w:tcPr>
            <w:tcW w:w="3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39E0" w:rsidRPr="002639E0" w:rsidRDefault="002639E0" w:rsidP="002639E0">
            <w:pPr>
              <w:ind w:firstLine="288"/>
              <w:jc w:val="left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2639E0">
              <w:rPr>
                <w:rFonts w:ascii="Bookman Old Style" w:eastAsia="Times New Roman" w:hAnsi="Bookman Old Style" w:cs="Arial"/>
                <w:kern w:val="24"/>
                <w:sz w:val="20"/>
                <w:szCs w:val="20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„Lehetőséget nyújt az oktatásban résztvevők számára, hogy </w:t>
            </w:r>
            <w:r w:rsidRPr="002639E0">
              <w:rPr>
                <w:rFonts w:ascii="Bookman Old Style" w:eastAsia="Times New Roman" w:hAnsi="Bookman Old Style" w:cs="Arial"/>
                <w:i/>
                <w:iCs/>
                <w:kern w:val="24"/>
                <w:sz w:val="20"/>
                <w:szCs w:val="20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tértől és időtől függetlenül</w:t>
            </w:r>
            <w:r w:rsidRPr="002639E0">
              <w:rPr>
                <w:rFonts w:ascii="Bookman Old Style" w:eastAsia="Times New Roman" w:hAnsi="Bookman Old Style" w:cs="Arial"/>
                <w:kern w:val="24"/>
                <w:sz w:val="20"/>
                <w:szCs w:val="20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oldják meg a legspecifikusabb problémákat”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9E0" w:rsidRPr="002639E0" w:rsidRDefault="002639E0" w:rsidP="002639E0">
            <w:pPr>
              <w:ind w:firstLine="288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2639E0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46,9%</w:t>
            </w:r>
          </w:p>
        </w:tc>
        <w:tc>
          <w:tcPr>
            <w:tcW w:w="1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9E0" w:rsidRPr="002639E0" w:rsidRDefault="002639E0" w:rsidP="002639E0">
            <w:pPr>
              <w:ind w:firstLine="288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2639E0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42,6%</w:t>
            </w:r>
          </w:p>
        </w:tc>
      </w:tr>
      <w:tr w:rsidR="002639E0" w:rsidRPr="002639E0" w:rsidTr="00EE351F">
        <w:trPr>
          <w:trHeight w:val="715"/>
          <w:jc w:val="center"/>
        </w:trPr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39E0" w:rsidRPr="002639E0" w:rsidRDefault="002639E0" w:rsidP="002639E0">
            <w:pPr>
              <w:ind w:firstLine="288"/>
              <w:jc w:val="left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2639E0">
              <w:rPr>
                <w:rFonts w:ascii="Bookman Old Style" w:eastAsia="Times New Roman" w:hAnsi="Bookman Old Style" w:cs="Arial"/>
                <w:kern w:val="24"/>
                <w:sz w:val="20"/>
                <w:szCs w:val="20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„Lehetőséget ad elektronikusan jelezni a tanárnak a felmerülő problémákat”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9E0" w:rsidRPr="002639E0" w:rsidRDefault="002639E0" w:rsidP="002639E0">
            <w:pPr>
              <w:ind w:firstLine="288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2639E0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36,0%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9E0" w:rsidRPr="002639E0" w:rsidRDefault="002639E0" w:rsidP="0094569F">
            <w:pPr>
              <w:keepNext/>
              <w:ind w:firstLine="288"/>
              <w:jc w:val="center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2639E0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41,9%</w:t>
            </w:r>
          </w:p>
        </w:tc>
      </w:tr>
    </w:tbl>
    <w:p w:rsidR="0094569F" w:rsidRPr="00C1173E" w:rsidRDefault="0094569F" w:rsidP="0094569F">
      <w:pPr>
        <w:pStyle w:val="Kpalrs"/>
        <w:jc w:val="center"/>
        <w:rPr>
          <w:color w:val="auto"/>
          <w:sz w:val="24"/>
        </w:rPr>
      </w:pPr>
      <w:r w:rsidRPr="00C1173E">
        <w:rPr>
          <w:color w:val="auto"/>
          <w:sz w:val="24"/>
        </w:rPr>
        <w:fldChar w:fldCharType="begin"/>
      </w:r>
      <w:r w:rsidRPr="00C1173E">
        <w:rPr>
          <w:color w:val="auto"/>
          <w:sz w:val="24"/>
        </w:rPr>
        <w:instrText xml:space="preserve"> SEQ táblázat \* ARABIC </w:instrText>
      </w:r>
      <w:r w:rsidRPr="00C1173E">
        <w:rPr>
          <w:color w:val="auto"/>
          <w:sz w:val="24"/>
        </w:rPr>
        <w:fldChar w:fldCharType="separate"/>
      </w:r>
      <w:r w:rsidR="00B8781A">
        <w:rPr>
          <w:noProof/>
          <w:color w:val="auto"/>
          <w:sz w:val="24"/>
        </w:rPr>
        <w:t>1</w:t>
      </w:r>
      <w:r w:rsidRPr="00C1173E">
        <w:rPr>
          <w:color w:val="auto"/>
          <w:sz w:val="24"/>
        </w:rPr>
        <w:fldChar w:fldCharType="end"/>
      </w:r>
      <w:r w:rsidRPr="00C1173E">
        <w:rPr>
          <w:color w:val="auto"/>
          <w:sz w:val="24"/>
        </w:rPr>
        <w:t>. táblázat</w:t>
      </w:r>
    </w:p>
    <w:p w:rsidR="00C1173E" w:rsidRDefault="00C1173E">
      <w:pPr>
        <w:spacing w:after="200" w:line="276" w:lineRule="auto"/>
        <w:jc w:val="left"/>
      </w:pPr>
      <w:r>
        <w:br w:type="page"/>
      </w:r>
    </w:p>
    <w:p w:rsidR="002639E0" w:rsidRDefault="002639E0" w:rsidP="00EE351F">
      <w:pPr>
        <w:pStyle w:val="alcim2"/>
      </w:pPr>
      <w:r w:rsidRPr="002639E0">
        <w:lastRenderedPageBreak/>
        <w:t>On-line tananyagok elsajátítása, begyakorlása</w:t>
      </w:r>
    </w:p>
    <w:p w:rsidR="002639E0" w:rsidRPr="0094569F" w:rsidRDefault="002639E0" w:rsidP="002639E0">
      <w:pPr>
        <w:ind w:firstLine="284"/>
      </w:pPr>
      <w:r w:rsidRPr="0094569F">
        <w:t xml:space="preserve">Az on-line tananyag-elsajátítására, begyakorlására </w:t>
      </w:r>
      <w:r w:rsidRPr="0094569F">
        <w:rPr>
          <w:bCs/>
        </w:rPr>
        <w:t>irányuló kérdésekből kiderül</w:t>
      </w:r>
      <w:r w:rsidRPr="0094569F">
        <w:t xml:space="preserve">, hogy </w:t>
      </w:r>
      <w:r w:rsidRPr="0094569F">
        <w:rPr>
          <w:bCs/>
        </w:rPr>
        <w:t xml:space="preserve">rendkívül fontosnak tartják </w:t>
      </w:r>
      <w:r w:rsidRPr="0094569F">
        <w:t xml:space="preserve">a </w:t>
      </w:r>
      <w:r w:rsidRPr="0094569F">
        <w:rPr>
          <w:bCs/>
        </w:rPr>
        <w:t>médiás elemek meglétét, elérhetőségét</w:t>
      </w:r>
      <w:r w:rsidRPr="0094569F">
        <w:t xml:space="preserve">. </w:t>
      </w:r>
      <w:r w:rsidRPr="0094569F">
        <w:rPr>
          <w:bCs/>
        </w:rPr>
        <w:t>Az azonnali visszacsatolás, önellenőrzés fontossága az utolsó kérdésre adott válaszból beigazolódott</w:t>
      </w:r>
      <w:r w:rsidRPr="0094569F">
        <w:t xml:space="preserve">. </w:t>
      </w:r>
    </w:p>
    <w:p w:rsidR="002639E0" w:rsidRPr="0094569F" w:rsidRDefault="002639E0" w:rsidP="00F331F6">
      <w:pPr>
        <w:ind w:firstLine="284"/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843"/>
        <w:gridCol w:w="2409"/>
      </w:tblGrid>
      <w:tr w:rsidR="002639E0" w:rsidRPr="002639E0" w:rsidTr="002639E0">
        <w:trPr>
          <w:trHeight w:val="666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A8" w:rsidRPr="00EE351F" w:rsidRDefault="002639E0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351F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Kérdés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A8" w:rsidRPr="00EE351F" w:rsidRDefault="002639E0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351F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Jónak tartja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A8" w:rsidRPr="00EE351F" w:rsidRDefault="002639E0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351F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Nagyon jónak tartja</w:t>
            </w:r>
          </w:p>
        </w:tc>
      </w:tr>
      <w:tr w:rsidR="002639E0" w:rsidRPr="002639E0" w:rsidTr="002639E0">
        <w:trPr>
          <w:trHeight w:val="1999"/>
        </w:trPr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A8" w:rsidRPr="00EE351F" w:rsidRDefault="002639E0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351F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„Videokonferenciák lehetőséget nyújthatnak érdekes, új tudományos eredmények meghallgatására, kérdések feltevésére”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A8" w:rsidRPr="00EE351F" w:rsidRDefault="002639E0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45,0%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A8" w:rsidRPr="00EE351F" w:rsidRDefault="002639E0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12,0%</w:t>
            </w:r>
          </w:p>
        </w:tc>
      </w:tr>
      <w:tr w:rsidR="002639E0" w:rsidRPr="002639E0" w:rsidTr="002639E0">
        <w:trPr>
          <w:trHeight w:val="999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A8" w:rsidRPr="00EE351F" w:rsidRDefault="002639E0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351F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„A tanszéki hálózaton az előadások anyagának hozzáférhetősége”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A8" w:rsidRPr="00EE351F" w:rsidRDefault="002639E0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48,1%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A8" w:rsidRPr="00EE351F" w:rsidRDefault="002639E0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19,6%</w:t>
            </w:r>
          </w:p>
        </w:tc>
      </w:tr>
      <w:tr w:rsidR="002639E0" w:rsidRPr="002639E0" w:rsidTr="002639E0">
        <w:trPr>
          <w:trHeight w:val="999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A8" w:rsidRPr="00EE351F" w:rsidRDefault="002639E0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351F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„A tananyaghoz kapcsolódó médiumok ismételt áttekinthetősége”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A8" w:rsidRPr="00EE351F" w:rsidRDefault="002639E0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50,8%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A8" w:rsidRPr="00EE351F" w:rsidRDefault="002639E0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35,3%</w:t>
            </w:r>
          </w:p>
        </w:tc>
      </w:tr>
      <w:tr w:rsidR="002639E0" w:rsidRPr="002639E0" w:rsidTr="002639E0">
        <w:trPr>
          <w:trHeight w:val="666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A8" w:rsidRPr="00EE351F" w:rsidRDefault="002639E0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351F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„Elektronikus tesztek alkalmazhatósága”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A8" w:rsidRPr="00EE351F" w:rsidRDefault="002639E0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36,8%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0A8" w:rsidRPr="00EE351F" w:rsidRDefault="002639E0" w:rsidP="0094569F">
            <w:pPr>
              <w:keepNext/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43,8%</w:t>
            </w:r>
          </w:p>
        </w:tc>
      </w:tr>
    </w:tbl>
    <w:p w:rsidR="0094569F" w:rsidRPr="00C1173E" w:rsidRDefault="0094569F" w:rsidP="0094569F">
      <w:pPr>
        <w:pStyle w:val="Kpalrs"/>
        <w:jc w:val="center"/>
        <w:rPr>
          <w:color w:val="auto"/>
          <w:sz w:val="24"/>
        </w:rPr>
      </w:pPr>
      <w:r w:rsidRPr="00C1173E">
        <w:rPr>
          <w:color w:val="auto"/>
          <w:sz w:val="24"/>
        </w:rPr>
        <w:fldChar w:fldCharType="begin"/>
      </w:r>
      <w:r w:rsidRPr="00C1173E">
        <w:rPr>
          <w:color w:val="auto"/>
          <w:sz w:val="24"/>
        </w:rPr>
        <w:instrText xml:space="preserve"> SEQ táblázat \* ARABIC </w:instrText>
      </w:r>
      <w:r w:rsidRPr="00C1173E">
        <w:rPr>
          <w:color w:val="auto"/>
          <w:sz w:val="24"/>
        </w:rPr>
        <w:fldChar w:fldCharType="separate"/>
      </w:r>
      <w:r w:rsidR="00B8781A">
        <w:rPr>
          <w:noProof/>
          <w:color w:val="auto"/>
          <w:sz w:val="24"/>
        </w:rPr>
        <w:t>2</w:t>
      </w:r>
      <w:r w:rsidRPr="00C1173E">
        <w:rPr>
          <w:color w:val="auto"/>
          <w:sz w:val="24"/>
        </w:rPr>
        <w:fldChar w:fldCharType="end"/>
      </w:r>
      <w:r w:rsidRPr="00C1173E">
        <w:rPr>
          <w:color w:val="auto"/>
          <w:sz w:val="24"/>
        </w:rPr>
        <w:t>. táblázat On-line tananyagok elsajátítása, begyakorlása</w:t>
      </w:r>
    </w:p>
    <w:p w:rsidR="00F331F6" w:rsidRDefault="00D04A94" w:rsidP="00EE351F">
      <w:pPr>
        <w:pStyle w:val="alcim2"/>
      </w:pPr>
      <w:r w:rsidRPr="00D04A94">
        <w:t>IKT eszközök használata az oktatásban</w:t>
      </w:r>
    </w:p>
    <w:p w:rsidR="00D04A94" w:rsidRPr="0094569F" w:rsidRDefault="00D04A94" w:rsidP="00D04A94">
      <w:pPr>
        <w:ind w:firstLine="284"/>
      </w:pPr>
      <w:r w:rsidRPr="0094569F">
        <w:rPr>
          <w:bCs/>
        </w:rPr>
        <w:t>A</w:t>
      </w:r>
      <w:r w:rsidR="0094569F">
        <w:rPr>
          <w:bCs/>
        </w:rPr>
        <w:t>z alábbi</w:t>
      </w:r>
      <w:r w:rsidRPr="0094569F">
        <w:rPr>
          <w:bCs/>
        </w:rPr>
        <w:t xml:space="preserve"> pókdiagram alapján</w:t>
      </w:r>
      <w:r w:rsidR="0094569F">
        <w:rPr>
          <w:bCs/>
        </w:rPr>
        <w:t xml:space="preserve"> (8. ábra)</w:t>
      </w:r>
      <w:r w:rsidRPr="0094569F">
        <w:rPr>
          <w:bCs/>
        </w:rPr>
        <w:t xml:space="preserve"> látható, hogy az IKT eszközöket a hallgatók egyöntetűen jónak tartják</w:t>
      </w:r>
      <w:r w:rsidR="0094569F">
        <w:t xml:space="preserve">. </w:t>
      </w:r>
      <w:r w:rsidRPr="0094569F">
        <w:rPr>
          <w:bCs/>
        </w:rPr>
        <w:t xml:space="preserve">A válaszadók 58,9%-a mondja, hogy </w:t>
      </w:r>
      <w:r w:rsidRPr="0094569F">
        <w:t xml:space="preserve">„Az IKT interaktív kapcsolatot biztosít a tananyag és a tanuló között és egyénre szabott tanulási lehetőséget biztosít”. A verbalitás és vizualitás eredményesebb tananyag feldolgozást eredményez. </w:t>
      </w:r>
      <w:r w:rsidRPr="0094569F">
        <w:rPr>
          <w:bCs/>
        </w:rPr>
        <w:t xml:space="preserve">Segíti a </w:t>
      </w:r>
      <w:r w:rsidRPr="0094569F">
        <w:t>tanulmányi előrehaladást.</w:t>
      </w:r>
    </w:p>
    <w:p w:rsidR="00D04A94" w:rsidRPr="0094569F" w:rsidRDefault="00D04A94" w:rsidP="00D04A94">
      <w:pPr>
        <w:ind w:firstLine="284"/>
        <w:rPr>
          <w:bCs/>
        </w:rPr>
      </w:pPr>
      <w:r w:rsidRPr="0094569F">
        <w:rPr>
          <w:bCs/>
        </w:rPr>
        <w:t>Az kérdések tekintetében szignifikáns eredmény született az alábbiaknál</w:t>
      </w:r>
      <w:r w:rsidR="00AF489F">
        <w:rPr>
          <w:bCs/>
        </w:rPr>
        <w:t xml:space="preserve"> (3. táblázat)</w:t>
      </w:r>
      <w:r w:rsidR="0094569F">
        <w:t xml:space="preserve">: </w:t>
      </w:r>
      <w:r w:rsidRPr="0094569F">
        <w:rPr>
          <w:bCs/>
        </w:rPr>
        <w:t xml:space="preserve">Az IKT eszközök </w:t>
      </w:r>
      <w:r w:rsidRPr="0094569F">
        <w:rPr>
          <w:i/>
          <w:iCs/>
        </w:rPr>
        <w:t>Egyéni sikerélmény biztosít</w:t>
      </w:r>
      <w:r w:rsidRPr="0094569F">
        <w:t>anak, és „</w:t>
      </w:r>
      <w:r w:rsidRPr="0094569F">
        <w:rPr>
          <w:i/>
          <w:iCs/>
        </w:rPr>
        <w:t>Könnyebb statisztikai és minőségbiztosítási felmérések és kiértékelések</w:t>
      </w:r>
      <w:r w:rsidRPr="0094569F">
        <w:t xml:space="preserve">” </w:t>
      </w:r>
      <w:r w:rsidRPr="0094569F">
        <w:rPr>
          <w:bCs/>
        </w:rPr>
        <w:t>végezhetőek általa.</w:t>
      </w:r>
    </w:p>
    <w:p w:rsidR="00EE351F" w:rsidRDefault="00EE351F" w:rsidP="00D04A94">
      <w:pPr>
        <w:ind w:firstLine="284"/>
        <w:rPr>
          <w:b/>
          <w:bCs/>
        </w:rPr>
      </w:pPr>
    </w:p>
    <w:p w:rsidR="0094569F" w:rsidRDefault="00EE351F" w:rsidP="0094569F">
      <w:pPr>
        <w:keepNext/>
        <w:ind w:left="-284"/>
      </w:pPr>
      <w:r w:rsidRPr="00D04A94">
        <w:rPr>
          <w:noProof/>
          <w:lang w:eastAsia="hu-HU"/>
        </w:rPr>
        <w:lastRenderedPageBreak/>
        <w:drawing>
          <wp:inline distT="0" distB="0" distL="0" distR="0" wp14:anchorId="03FE6AC3" wp14:editId="52527BE0">
            <wp:extent cx="6105525" cy="4063543"/>
            <wp:effectExtent l="0" t="0" r="0" b="0"/>
            <wp:docPr id="9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8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1"/>
                    <a:stretch/>
                  </pic:blipFill>
                  <pic:spPr bwMode="auto">
                    <a:xfrm>
                      <a:off x="0" y="0"/>
                      <a:ext cx="6136343" cy="408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51F" w:rsidRPr="00C1173E" w:rsidRDefault="0094569F" w:rsidP="0094569F">
      <w:pPr>
        <w:pStyle w:val="Kpalrs"/>
        <w:jc w:val="center"/>
        <w:rPr>
          <w:b/>
          <w:bCs/>
          <w:color w:val="auto"/>
          <w:sz w:val="24"/>
        </w:rPr>
      </w:pPr>
      <w:r w:rsidRPr="001218C9">
        <w:rPr>
          <w:bCs/>
          <w:color w:val="auto"/>
          <w:sz w:val="24"/>
        </w:rPr>
        <w:fldChar w:fldCharType="begin"/>
      </w:r>
      <w:r w:rsidRPr="001218C9">
        <w:rPr>
          <w:bCs/>
          <w:color w:val="auto"/>
          <w:sz w:val="24"/>
        </w:rPr>
        <w:instrText xml:space="preserve"> SEQ ábra \* ARABIC </w:instrText>
      </w:r>
      <w:r w:rsidRPr="001218C9">
        <w:rPr>
          <w:bCs/>
          <w:color w:val="auto"/>
          <w:sz w:val="24"/>
        </w:rPr>
        <w:fldChar w:fldCharType="separate"/>
      </w:r>
      <w:r w:rsidR="00B8781A" w:rsidRPr="001218C9">
        <w:rPr>
          <w:bCs/>
          <w:noProof/>
          <w:color w:val="auto"/>
          <w:sz w:val="24"/>
        </w:rPr>
        <w:t>8</w:t>
      </w:r>
      <w:r w:rsidRPr="001218C9">
        <w:rPr>
          <w:bCs/>
          <w:color w:val="auto"/>
          <w:sz w:val="24"/>
        </w:rPr>
        <w:fldChar w:fldCharType="end"/>
      </w:r>
      <w:r w:rsidRPr="001218C9">
        <w:rPr>
          <w:color w:val="auto"/>
          <w:sz w:val="24"/>
        </w:rPr>
        <w:t>. á</w:t>
      </w:r>
      <w:r w:rsidRPr="00C1173E">
        <w:rPr>
          <w:color w:val="auto"/>
          <w:sz w:val="24"/>
        </w:rPr>
        <w:t>bra IKT eszközök használata az oktatásban</w:t>
      </w:r>
    </w:p>
    <w:tbl>
      <w:tblPr>
        <w:tblpPr w:leftFromText="141" w:rightFromText="141" w:vertAnchor="text" w:horzAnchor="margin" w:tblpXSpec="center" w:tblpY="-201"/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540"/>
      </w:tblGrid>
      <w:tr w:rsidR="00EE351F" w:rsidRPr="00D04A94" w:rsidTr="00EE351F">
        <w:trPr>
          <w:trHeight w:val="341"/>
        </w:trPr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351F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351F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jellemző eredmény</w:t>
            </w:r>
          </w:p>
        </w:tc>
      </w:tr>
      <w:tr w:rsidR="00EE351F" w:rsidRPr="00D04A94" w:rsidTr="00EE351F">
        <w:trPr>
          <w:trHeight w:val="1130"/>
        </w:trPr>
        <w:tc>
          <w:tcPr>
            <w:tcW w:w="3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351F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Az IKT interaktív kapcsolatot biztosít a tananyag és a tanuló között és egyénre szabott tanulási lehetőséget biztosít</w:t>
            </w:r>
          </w:p>
        </w:tc>
        <w:tc>
          <w:tcPr>
            <w:tcW w:w="3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a minta 58,9%-a jónak tartja, mely nem szignifikáns </w:t>
            </w:r>
          </w:p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χ2=23,446; p=0,075</w:t>
            </w:r>
          </w:p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351F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 </w:t>
            </w:r>
          </w:p>
        </w:tc>
      </w:tr>
      <w:tr w:rsidR="00EE351F" w:rsidRPr="00D04A94" w:rsidTr="00EE351F">
        <w:trPr>
          <w:trHeight w:val="1130"/>
        </w:trPr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351F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 verbalitás és vizualitás eredményesebb tananyag feldolgozást biztosít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a minta 52,3%-a jónak tartja, mely nem szignifikáns </w:t>
            </w:r>
          </w:p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χ2=23,719; p=0,070</w:t>
            </w:r>
          </w:p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</w:t>
            </w:r>
          </w:p>
        </w:tc>
      </w:tr>
      <w:tr w:rsidR="00EE351F" w:rsidRPr="00D04A94" w:rsidTr="00EE351F">
        <w:trPr>
          <w:trHeight w:val="1130"/>
        </w:trPr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351F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Egyéni sikerélmény biztosít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a minta 47,3%-a jónak tartja, mely szignifikáns </w:t>
            </w:r>
          </w:p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χ2=29,233; p=0,015</w:t>
            </w:r>
          </w:p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</w:t>
            </w:r>
          </w:p>
        </w:tc>
      </w:tr>
      <w:tr w:rsidR="00EE351F" w:rsidRPr="00D04A94" w:rsidTr="00EE351F">
        <w:trPr>
          <w:trHeight w:val="1130"/>
        </w:trPr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351F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 tanulmányi előrehaladást könnyebb követni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a minta 48,1%-a jónak tartja, mely nem szignifikáns </w:t>
            </w:r>
          </w:p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χ2=21,237; p=0,129</w:t>
            </w:r>
          </w:p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</w:t>
            </w:r>
          </w:p>
        </w:tc>
      </w:tr>
      <w:tr w:rsidR="00EE351F" w:rsidRPr="00D04A94" w:rsidTr="00EE351F">
        <w:trPr>
          <w:trHeight w:val="1130"/>
        </w:trPr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351F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Könnyebb statisztikai és minőségbiztosítási felmérések és kiértékelések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a minta 51,2%-a jónak tartja, mely szignifikáns </w:t>
            </w:r>
          </w:p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χ2=26,209; p=0,036</w:t>
            </w:r>
          </w:p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</w:t>
            </w:r>
          </w:p>
        </w:tc>
      </w:tr>
      <w:tr w:rsidR="00EE351F" w:rsidRPr="00D04A94" w:rsidTr="00EE351F">
        <w:trPr>
          <w:trHeight w:val="1130"/>
        </w:trPr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E351F">
              <w:rPr>
                <w:rFonts w:ascii="Bookman Old Style" w:eastAsia="Times New Roman" w:hAnsi="Bookman Old Style" w:cs="Arial"/>
                <w:kern w:val="24"/>
                <w:sz w:val="21"/>
                <w:szCs w:val="21"/>
                <w:lang w:eastAsia="hu-H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Folyamatos kontroll a minőség és a teljesítés területén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a minta 53,9%-a jónak tartja, mely nem szignifikáns </w:t>
            </w:r>
          </w:p>
          <w:p w:rsidR="00EE351F" w:rsidRPr="00EE351F" w:rsidRDefault="00EE351F" w:rsidP="00EE351F">
            <w:pPr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χ2=24,256; p=0,061</w:t>
            </w:r>
          </w:p>
          <w:p w:rsidR="00EE351F" w:rsidRPr="00EE351F" w:rsidRDefault="00EE351F" w:rsidP="0094569F">
            <w:pPr>
              <w:keepNext/>
              <w:ind w:firstLine="288"/>
              <w:jc w:val="center"/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E351F">
              <w:rPr>
                <w:rFonts w:ascii="Bookman Old Style" w:eastAsia="Times New Roman" w:hAnsi="Bookman Old Style" w:cs="Arial"/>
                <w:color w:val="000000"/>
                <w:kern w:val="24"/>
                <w:sz w:val="21"/>
                <w:szCs w:val="21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</w:t>
            </w:r>
          </w:p>
        </w:tc>
      </w:tr>
    </w:tbl>
    <w:p w:rsidR="00EE351F" w:rsidRDefault="00EE351F" w:rsidP="0094569F">
      <w:pPr>
        <w:rPr>
          <w:b/>
          <w:bCs/>
        </w:rPr>
      </w:pPr>
    </w:p>
    <w:p w:rsidR="0094569F" w:rsidRDefault="0094569F" w:rsidP="00EE351F">
      <w:pPr>
        <w:pStyle w:val="alcim"/>
      </w:pPr>
    </w:p>
    <w:p w:rsidR="0094569F" w:rsidRDefault="0094569F" w:rsidP="00EE351F">
      <w:pPr>
        <w:pStyle w:val="alcim"/>
      </w:pPr>
    </w:p>
    <w:p w:rsidR="0094569F" w:rsidRDefault="0094569F" w:rsidP="00EE351F">
      <w:pPr>
        <w:pStyle w:val="alcim"/>
      </w:pPr>
    </w:p>
    <w:p w:rsidR="0094569F" w:rsidRDefault="0094569F" w:rsidP="00EE351F">
      <w:pPr>
        <w:pStyle w:val="alcim"/>
      </w:pPr>
    </w:p>
    <w:p w:rsidR="0094569F" w:rsidRDefault="0094569F" w:rsidP="00EE351F">
      <w:pPr>
        <w:pStyle w:val="alcim"/>
      </w:pPr>
    </w:p>
    <w:p w:rsidR="0094569F" w:rsidRDefault="0094569F" w:rsidP="00EE351F">
      <w:pPr>
        <w:pStyle w:val="alcim"/>
      </w:pPr>
    </w:p>
    <w:p w:rsidR="0094569F" w:rsidRDefault="0094569F" w:rsidP="00EE351F">
      <w:pPr>
        <w:pStyle w:val="alcim"/>
      </w:pPr>
    </w:p>
    <w:p w:rsidR="0094569F" w:rsidRDefault="0094569F" w:rsidP="00EE351F">
      <w:pPr>
        <w:pStyle w:val="alcim"/>
      </w:pPr>
    </w:p>
    <w:p w:rsidR="0094569F" w:rsidRDefault="0094569F" w:rsidP="00EE351F">
      <w:pPr>
        <w:pStyle w:val="alcim"/>
      </w:pPr>
    </w:p>
    <w:p w:rsidR="0094569F" w:rsidRDefault="0094569F" w:rsidP="00EE351F">
      <w:pPr>
        <w:pStyle w:val="alcim"/>
      </w:pPr>
    </w:p>
    <w:p w:rsidR="0094569F" w:rsidRDefault="0094569F" w:rsidP="00EE351F">
      <w:pPr>
        <w:pStyle w:val="alcim"/>
      </w:pPr>
    </w:p>
    <w:p w:rsidR="0094569F" w:rsidRDefault="0094569F" w:rsidP="00EE351F">
      <w:pPr>
        <w:pStyle w:val="alcim"/>
      </w:pPr>
    </w:p>
    <w:p w:rsidR="0094569F" w:rsidRPr="00C1173E" w:rsidRDefault="0094569F" w:rsidP="00C1173E">
      <w:pPr>
        <w:pStyle w:val="Kpalrs"/>
        <w:framePr w:hSpace="141" w:wrap="around" w:vAnchor="text" w:hAnchor="page" w:x="3715" w:y="399"/>
        <w:rPr>
          <w:color w:val="auto"/>
          <w:sz w:val="24"/>
        </w:rPr>
      </w:pPr>
      <w:r w:rsidRPr="00C1173E">
        <w:rPr>
          <w:color w:val="auto"/>
          <w:sz w:val="24"/>
        </w:rPr>
        <w:fldChar w:fldCharType="begin"/>
      </w:r>
      <w:r w:rsidRPr="00C1173E">
        <w:rPr>
          <w:color w:val="auto"/>
          <w:sz w:val="24"/>
        </w:rPr>
        <w:instrText xml:space="preserve"> SEQ táblázat \* ARABIC </w:instrText>
      </w:r>
      <w:r w:rsidRPr="00C1173E">
        <w:rPr>
          <w:color w:val="auto"/>
          <w:sz w:val="24"/>
        </w:rPr>
        <w:fldChar w:fldCharType="separate"/>
      </w:r>
      <w:r w:rsidR="00B8781A">
        <w:rPr>
          <w:noProof/>
          <w:color w:val="auto"/>
          <w:sz w:val="24"/>
        </w:rPr>
        <w:t>3</w:t>
      </w:r>
      <w:r w:rsidRPr="00C1173E">
        <w:rPr>
          <w:color w:val="auto"/>
          <w:sz w:val="24"/>
        </w:rPr>
        <w:fldChar w:fldCharType="end"/>
      </w:r>
      <w:r w:rsidRPr="00C1173E">
        <w:rPr>
          <w:color w:val="auto"/>
          <w:sz w:val="24"/>
        </w:rPr>
        <w:t>. táblázat IKT eszközök használata az oktatásban</w:t>
      </w:r>
    </w:p>
    <w:p w:rsidR="0094569F" w:rsidRDefault="0094569F" w:rsidP="00EE351F">
      <w:pPr>
        <w:pStyle w:val="alcim"/>
      </w:pPr>
    </w:p>
    <w:p w:rsidR="0094569F" w:rsidRDefault="0094569F" w:rsidP="00EE351F">
      <w:pPr>
        <w:pStyle w:val="alcim"/>
      </w:pPr>
    </w:p>
    <w:p w:rsidR="00EE351F" w:rsidRPr="00EE351F" w:rsidRDefault="00EE351F" w:rsidP="00EE351F">
      <w:pPr>
        <w:pStyle w:val="alcim"/>
      </w:pPr>
      <w:r w:rsidRPr="00EE351F">
        <w:t>Összefoglalás</w:t>
      </w:r>
    </w:p>
    <w:p w:rsidR="00D04A94" w:rsidRPr="0025314B" w:rsidRDefault="00D04A94" w:rsidP="00D04A94">
      <w:pPr>
        <w:ind w:firstLine="284"/>
      </w:pPr>
      <w:r w:rsidRPr="0025314B">
        <w:t xml:space="preserve">A hallgatók </w:t>
      </w:r>
      <w:r w:rsidRPr="0025314B">
        <w:rPr>
          <w:bCs/>
        </w:rPr>
        <w:t xml:space="preserve">olvasási szokásait vizsgálva </w:t>
      </w:r>
      <w:r w:rsidRPr="0025314B">
        <w:t xml:space="preserve">a kutatás rámutatott, hogy mind a hagyományos, mind pedig az elektronikus tananyagok használatára szükség van. Ezen </w:t>
      </w:r>
      <w:r w:rsidRPr="0025314B">
        <w:rPr>
          <w:bCs/>
        </w:rPr>
        <w:t>utóbbira egyre növekvő az igény</w:t>
      </w:r>
      <w:r w:rsidRPr="0025314B">
        <w:t xml:space="preserve">. Igaz mindez </w:t>
      </w:r>
      <w:r w:rsidRPr="0025314B">
        <w:rPr>
          <w:bCs/>
        </w:rPr>
        <w:t>kihívást jelent a pedagógusok számára</w:t>
      </w:r>
      <w:r w:rsidRPr="0025314B">
        <w:t>, hiszen a létrehozása, a hagyományos ismeretek új környezetbe történő adoptálása, folyamatos frissítése, medializált tartalmak létrehozása, az ők feladatuk. Ismereteik bővítése, mind alkalmazások mind eszközök terén elengedhetetlen. Változatni nem csak az oktatásban, hanem a könyvtárak szolgáltatásaiban is szükség van, főleg digitális szerepe (archív anyagok, folyóiratok, források keresése stb.) kapcsán.</w:t>
      </w:r>
    </w:p>
    <w:p w:rsidR="002639E0" w:rsidRDefault="00D04A94" w:rsidP="00265C22">
      <w:pPr>
        <w:ind w:firstLine="284"/>
      </w:pPr>
      <w:r w:rsidRPr="0025314B">
        <w:t xml:space="preserve">A visszajelzések alapján elmondható, </w:t>
      </w:r>
      <w:r w:rsidRPr="0025314B">
        <w:rPr>
          <w:bCs/>
        </w:rPr>
        <w:t>hogy a hallgatók igénylik az új IKT eszközök használatát, az online-tananyagok</w:t>
      </w:r>
      <w:r w:rsidRPr="0025314B">
        <w:t xml:space="preserve">, mint a hagyományos oktatást segítő eszköz meglétét. Fontosnak tartják, hogy a benne rejlő lehetőségek (fórumok, videó, hanganyagok, animációk…) kihasználásra kerüljenek, dinamikusan változzanak a modern kor igényeinek megfelelően. Elmondható, hogy </w:t>
      </w:r>
      <w:r w:rsidRPr="0025314B">
        <w:rPr>
          <w:bCs/>
        </w:rPr>
        <w:t>úgy lehet a legjobban lekötni az egyre jobban szerteágazó figyelmet, ha megvizsgáljuk azokat az új alkalmazásokat, „trendeket” amelyek népszerűek, nagy teret hódítanak, és megkeressük bennük a lehetőséget, amellyel a tudás átadhatóvá válik</w:t>
      </w:r>
      <w:r w:rsidRPr="0025314B">
        <w:t>. Ez jelenti azt, hogy „Egy nyelvet beszélünk!”, az új kor nyelvén átadni a – bár megreformált, de – lényegi tudást.</w:t>
      </w:r>
    </w:p>
    <w:p w:rsidR="007E1117" w:rsidRDefault="007E1117" w:rsidP="007E1117">
      <w:pPr>
        <w:pStyle w:val="alcim"/>
      </w:pPr>
      <w:r>
        <w:lastRenderedPageBreak/>
        <w:t>Irodalomjegyzék</w:t>
      </w:r>
    </w:p>
    <w:p w:rsidR="007E1117" w:rsidRPr="00A572B9" w:rsidRDefault="007E1117" w:rsidP="007E1117">
      <w:pPr>
        <w:pStyle w:val="Irodalom"/>
        <w:rPr>
          <w:sz w:val="24"/>
        </w:rPr>
      </w:pPr>
      <w:r w:rsidRPr="00A572B9">
        <w:rPr>
          <w:sz w:val="24"/>
        </w:rPr>
        <w:t>Barna Ildikó, Székelyi Mária (2008): Túlélőkészlet az SPSS-hez, Typotex Kiadó, ISBN: 9789632790121</w:t>
      </w:r>
    </w:p>
    <w:p w:rsidR="0018682F" w:rsidRDefault="0018682F" w:rsidP="0018682F">
      <w:pPr>
        <w:pStyle w:val="Irodalom"/>
        <w:rPr>
          <w:sz w:val="24"/>
        </w:rPr>
      </w:pPr>
      <w:r w:rsidRPr="0018682F">
        <w:rPr>
          <w:sz w:val="24"/>
        </w:rPr>
        <w:t>Lego Education (2016) https://education.lego.com/en-us Letöltés dátuma: 2016.01.12.</w:t>
      </w:r>
    </w:p>
    <w:p w:rsidR="007E1117" w:rsidRPr="00A572B9" w:rsidRDefault="007E1117" w:rsidP="007E1117">
      <w:pPr>
        <w:pStyle w:val="Irodalom"/>
        <w:rPr>
          <w:sz w:val="24"/>
        </w:rPr>
      </w:pPr>
      <w:r w:rsidRPr="00A572B9">
        <w:rPr>
          <w:sz w:val="24"/>
        </w:rPr>
        <w:t>Falus Iván, Ollé János (2000): Statisztikai módszerek pedagógusok számára, Okker Kiadó, ISBN: 9789639228160</w:t>
      </w:r>
    </w:p>
    <w:p w:rsidR="007E1117" w:rsidRPr="00A572B9" w:rsidRDefault="007E1117" w:rsidP="007E1117">
      <w:pPr>
        <w:pStyle w:val="Irodalom"/>
        <w:rPr>
          <w:sz w:val="24"/>
        </w:rPr>
      </w:pPr>
      <w:r w:rsidRPr="00A572B9">
        <w:rPr>
          <w:sz w:val="24"/>
        </w:rPr>
        <w:t xml:space="preserve">Falus Iván, Ollé János (2008): Az empirikus kutatások gyakorlata, Nemzeti Tankönyvkiadó, ISBN: 9789631960112 </w:t>
      </w:r>
    </w:p>
    <w:p w:rsidR="007E1117" w:rsidRDefault="007E1117" w:rsidP="007E1117">
      <w:pPr>
        <w:pStyle w:val="Irodalom"/>
        <w:rPr>
          <w:sz w:val="24"/>
        </w:rPr>
      </w:pPr>
      <w:r w:rsidRPr="00A572B9">
        <w:rPr>
          <w:sz w:val="24"/>
        </w:rPr>
        <w:t>Sajtos László, Mitev Ariel (2007): SPSS Kutatási és adatelemzési kézikönyv, Alinea Kiadó, ISBN:978-963-9659-08-7</w:t>
      </w:r>
    </w:p>
    <w:p w:rsidR="0018682F" w:rsidRPr="0018682F" w:rsidRDefault="0018682F" w:rsidP="0018682F">
      <w:pPr>
        <w:pStyle w:val="Irodalom"/>
        <w:rPr>
          <w:sz w:val="24"/>
        </w:rPr>
      </w:pPr>
      <w:r w:rsidRPr="0018682F">
        <w:rPr>
          <w:sz w:val="24"/>
        </w:rPr>
        <w:t>Stansbury Meris (2012) Six technologies that soon could be in your classrooms URL: http://www.eschoolnews.com/2012/05/23/six-technologies-that-soon-could-be-in-your-classrooms/3/ Letöltés dátuma: 2016.01.09.</w:t>
      </w:r>
    </w:p>
    <w:p w:rsidR="0018682F" w:rsidRDefault="0018682F" w:rsidP="0018682F">
      <w:pPr>
        <w:pStyle w:val="Irodalom"/>
        <w:ind w:left="0" w:firstLine="0"/>
        <w:rPr>
          <w:sz w:val="24"/>
        </w:rPr>
      </w:pPr>
    </w:p>
    <w:sectPr w:rsidR="0018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67F" w:rsidRDefault="00F3267F" w:rsidP="00F3267F">
      <w:r>
        <w:separator/>
      </w:r>
    </w:p>
  </w:endnote>
  <w:endnote w:type="continuationSeparator" w:id="0">
    <w:p w:rsidR="00F3267F" w:rsidRDefault="00F3267F" w:rsidP="00F3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67F" w:rsidRDefault="00F3267F" w:rsidP="00F3267F">
      <w:r>
        <w:separator/>
      </w:r>
    </w:p>
  </w:footnote>
  <w:footnote w:type="continuationSeparator" w:id="0">
    <w:p w:rsidR="00F3267F" w:rsidRDefault="00F3267F" w:rsidP="00F3267F">
      <w:r>
        <w:continuationSeparator/>
      </w:r>
    </w:p>
  </w:footnote>
  <w:footnote w:id="1">
    <w:p w:rsidR="00F3267F" w:rsidRDefault="00F3267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3267F">
        <w:t xml:space="preserve">Stansbury Meris (2012) Six technologies that soon could be in your classrooms URL: </w:t>
      </w:r>
      <w:hyperlink r:id="rId1" w:history="1">
        <w:r w:rsidRPr="00132325">
          <w:rPr>
            <w:rStyle w:val="Hiperhivatkozs"/>
          </w:rPr>
          <w:t>http://www.eschoolnews.com/2012/05/23/six-technologies-that-soon-could-be-in-your-classrooms/3/</w:t>
        </w:r>
      </w:hyperlink>
      <w:r>
        <w:t xml:space="preserve"> Letöltés dátuma: 2016.01.09.</w:t>
      </w:r>
    </w:p>
  </w:footnote>
  <w:footnote w:id="2">
    <w:p w:rsidR="00C03AA3" w:rsidRDefault="00C03AA3">
      <w:pPr>
        <w:pStyle w:val="Lbjegyzetszveg"/>
      </w:pPr>
      <w:r>
        <w:rPr>
          <w:rStyle w:val="Lbjegyzet-hivatkozs"/>
        </w:rPr>
        <w:footnoteRef/>
      </w:r>
      <w:r>
        <w:t xml:space="preserve"> Lego Education (2016) </w:t>
      </w:r>
      <w:hyperlink r:id="rId2" w:history="1">
        <w:r w:rsidRPr="00132325">
          <w:rPr>
            <w:rStyle w:val="Hiperhivatkozs"/>
          </w:rPr>
          <w:t>https://education.lego.com/en-us</w:t>
        </w:r>
      </w:hyperlink>
      <w:r>
        <w:t xml:space="preserve"> Letöltés dátuma: 2016.01.12.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45DED"/>
    <w:multiLevelType w:val="hybridMultilevel"/>
    <w:tmpl w:val="3FECAD88"/>
    <w:lvl w:ilvl="0" w:tplc="BC2C6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2FFD0">
      <w:start w:val="11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6B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8B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C7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CA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4E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83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91"/>
    <w:rsid w:val="0005412E"/>
    <w:rsid w:val="00092BD0"/>
    <w:rsid w:val="001218C9"/>
    <w:rsid w:val="001777BA"/>
    <w:rsid w:val="0018682F"/>
    <w:rsid w:val="00187805"/>
    <w:rsid w:val="00197799"/>
    <w:rsid w:val="001B2535"/>
    <w:rsid w:val="001B7C88"/>
    <w:rsid w:val="0025314B"/>
    <w:rsid w:val="002639E0"/>
    <w:rsid w:val="00265C22"/>
    <w:rsid w:val="002F15F8"/>
    <w:rsid w:val="00300C52"/>
    <w:rsid w:val="00334AA9"/>
    <w:rsid w:val="00357E94"/>
    <w:rsid w:val="003814D4"/>
    <w:rsid w:val="003E7239"/>
    <w:rsid w:val="0047240D"/>
    <w:rsid w:val="00494491"/>
    <w:rsid w:val="004A3DB1"/>
    <w:rsid w:val="0054446D"/>
    <w:rsid w:val="005B3EAE"/>
    <w:rsid w:val="005C40A6"/>
    <w:rsid w:val="006A0801"/>
    <w:rsid w:val="006C1DBB"/>
    <w:rsid w:val="00776C4A"/>
    <w:rsid w:val="007E1117"/>
    <w:rsid w:val="00877EFC"/>
    <w:rsid w:val="008C05E1"/>
    <w:rsid w:val="00907055"/>
    <w:rsid w:val="00930802"/>
    <w:rsid w:val="0094569F"/>
    <w:rsid w:val="009A30EB"/>
    <w:rsid w:val="00A50C0A"/>
    <w:rsid w:val="00A935F8"/>
    <w:rsid w:val="00AF489F"/>
    <w:rsid w:val="00B334F8"/>
    <w:rsid w:val="00B8781A"/>
    <w:rsid w:val="00BB40A8"/>
    <w:rsid w:val="00C03AA3"/>
    <w:rsid w:val="00C1173E"/>
    <w:rsid w:val="00C12C92"/>
    <w:rsid w:val="00C41F3B"/>
    <w:rsid w:val="00D04A94"/>
    <w:rsid w:val="00E47EA1"/>
    <w:rsid w:val="00EA3163"/>
    <w:rsid w:val="00EE351F"/>
    <w:rsid w:val="00F3267F"/>
    <w:rsid w:val="00F331F6"/>
    <w:rsid w:val="00F7222B"/>
    <w:rsid w:val="00FD2568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AEEF5-0C45-40FD-B4DE-A5BA6BCD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449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3">
    <w:name w:val="heading 3"/>
    <w:basedOn w:val="Norml"/>
    <w:link w:val="Cmsor3Char"/>
    <w:uiPriority w:val="9"/>
    <w:qFormat/>
    <w:rsid w:val="00F331F6"/>
    <w:pPr>
      <w:spacing w:before="240" w:after="120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331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hivatkozs">
    <w:name w:val="Hyperlink"/>
    <w:basedOn w:val="Bekezdsalapbettpusa"/>
    <w:uiPriority w:val="99"/>
    <w:unhideWhenUsed/>
    <w:rsid w:val="00F331F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1F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2639E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267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267F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3267F"/>
    <w:rPr>
      <w:vertAlign w:val="superscript"/>
    </w:rPr>
  </w:style>
  <w:style w:type="paragraph" w:customStyle="1" w:styleId="alcim">
    <w:name w:val="alcim"/>
    <w:basedOn w:val="Norml"/>
    <w:qFormat/>
    <w:rsid w:val="00EE351F"/>
    <w:pPr>
      <w:spacing w:before="240" w:after="120"/>
    </w:pPr>
    <w:rPr>
      <w:b/>
      <w:sz w:val="28"/>
    </w:rPr>
  </w:style>
  <w:style w:type="paragraph" w:customStyle="1" w:styleId="alcim2">
    <w:name w:val="alcim2"/>
    <w:basedOn w:val="Norml"/>
    <w:qFormat/>
    <w:rsid w:val="003E7239"/>
    <w:pPr>
      <w:spacing w:before="240" w:after="120"/>
      <w:ind w:firstLine="284"/>
    </w:pPr>
  </w:style>
  <w:style w:type="table" w:styleId="Rcsostblzat">
    <w:name w:val="Table Grid"/>
    <w:basedOn w:val="Normltblzat"/>
    <w:uiPriority w:val="59"/>
    <w:rsid w:val="006A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6A0801"/>
    <w:pPr>
      <w:spacing w:after="200"/>
    </w:pPr>
    <w:rPr>
      <w:i/>
      <w:iCs/>
      <w:color w:val="1F497D" w:themeColor="text2"/>
      <w:sz w:val="18"/>
      <w:szCs w:val="18"/>
    </w:rPr>
  </w:style>
  <w:style w:type="character" w:styleId="Kiemels2">
    <w:name w:val="Strong"/>
    <w:uiPriority w:val="22"/>
    <w:qFormat/>
    <w:rsid w:val="007E1117"/>
    <w:rPr>
      <w:b/>
      <w:bCs/>
    </w:rPr>
  </w:style>
  <w:style w:type="paragraph" w:customStyle="1" w:styleId="Irodalom">
    <w:name w:val="Irodalom"/>
    <w:basedOn w:val="Norml"/>
    <w:rsid w:val="007E1117"/>
    <w:pPr>
      <w:autoSpaceDE w:val="0"/>
      <w:autoSpaceDN w:val="0"/>
      <w:adjustRightInd w:val="0"/>
      <w:ind w:left="567" w:hanging="567"/>
    </w:pPr>
    <w:rPr>
      <w:rFonts w:eastAsia="Times New Roman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6532">
          <w:marLeft w:val="547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3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251">
          <w:marLeft w:val="547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770">
          <w:marLeft w:val="547"/>
          <w:marRight w:val="0"/>
          <w:marTop w:val="6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867">
          <w:marLeft w:val="547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726">
          <w:marLeft w:val="547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-obuda.hu/kmooc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rtualis-egyetem.hu/kurzu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theme" Target="theme/theme1.xml"/><Relationship Id="rId10" Type="http://schemas.openxmlformats.org/officeDocument/2006/relationships/hyperlink" Target="http://www.memooc.hu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memooc.hu/" TargetMode="Externa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ucation.lego.com/en-us" TargetMode="External"/><Relationship Id="rId1" Type="http://schemas.openxmlformats.org/officeDocument/2006/relationships/hyperlink" Target="http://www.eschoolnews.com/2012/05/23/six-technologies-that-soon-could-be-in-your-classrooms/3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173E-F40D-4054-8D8A-47FAB4F5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2417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38</cp:revision>
  <cp:lastPrinted>2016-04-25T21:46:00Z</cp:lastPrinted>
  <dcterms:created xsi:type="dcterms:W3CDTF">2016-04-25T18:21:00Z</dcterms:created>
  <dcterms:modified xsi:type="dcterms:W3CDTF">2016-04-25T21:49:00Z</dcterms:modified>
</cp:coreProperties>
</file>