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9FC" w:rsidRDefault="00EC3471">
      <w:pPr>
        <w:spacing w:after="240" w:line="240" w:lineRule="auto"/>
        <w:contextualSpacing w:val="0"/>
        <w:jc w:val="center"/>
      </w:pPr>
      <w:bookmarkStart w:id="0" w:name="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MOOC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online informatikai egyetem koncepciója</w:t>
      </w:r>
    </w:p>
    <w:p w:rsidR="002A29FC" w:rsidRDefault="00EC3471">
      <w:pPr>
        <w:spacing w:after="24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MeMOOC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informatics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university</w:t>
      </w:r>
      <w:proofErr w:type="spellEnd"/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Dr.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Kusper Gábor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&lt;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gkusper@aries.ektf.hu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&gt;</w:t>
      </w: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Eszterházy Károly Főiskola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Radványi Tibor &lt;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dream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@aries.ekt.hu&gt;</w:t>
      </w: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Eszterházy Károly Főiskola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Dr. Király Sándor &lt;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ksanyi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@aries.ektf.hu&gt;</w:t>
      </w: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Eszterházy Károly Főiskola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Percze Gábor &lt;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gabor.percze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@innovitech.hu&gt;</w:t>
      </w:r>
    </w:p>
    <w:p w:rsidR="002A29FC" w:rsidRDefault="00EC3471">
      <w:pPr>
        <w:spacing w:after="0" w:line="240" w:lineRule="auto"/>
        <w:contextualSpacing w:val="0"/>
        <w:jc w:val="center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InnovITech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Kft.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Dr. Kovács László </w:t>
      </w:r>
      <w:r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kovacs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@iit.uni-miskolc.hu&gt; </w:t>
      </w: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Miskolci Egyetem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Dr. Nehéz Ká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roly </w:t>
      </w:r>
      <w:r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aitnehez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@uni-miskolc.hu &gt;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A29FC" w:rsidRDefault="00EC3471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Miskolci Egyetem</w:t>
      </w:r>
    </w:p>
    <w:p w:rsidR="002A29FC" w:rsidRDefault="002A29FC">
      <w:pPr>
        <w:spacing w:after="0" w:line="240" w:lineRule="auto"/>
        <w:contextualSpacing w:val="0"/>
        <w:jc w:val="center"/>
      </w:pPr>
    </w:p>
    <w:p w:rsidR="002A29FC" w:rsidRDefault="00EC3471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Tematika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Miskolci Egyetem és az Eszterházy Károly Főiskola által létrehozott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informatikai egyetem célja, hogy az informatikai alapképzésekben lemorzsolódó hallgatók számára legyen egy máso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dik esély, hogy munka mellett is haladhassanak online formában tanulmányaikkal. Ennek megfelelően létrejött 12 távoktatási modul, amelyek lefedik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Mérnőkinformatikus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FOSZ képzés ismeretanyagát, illetve tartalmaz olyan korszerű ismereteket, mint a mobilpro</w:t>
      </w:r>
      <w:r>
        <w:rPr>
          <w:rFonts w:ascii="Times New Roman" w:eastAsia="Times New Roman" w:hAnsi="Times New Roman" w:cs="Times New Roman"/>
          <w:sz w:val="24"/>
          <w:szCs w:val="24"/>
        </w:rPr>
        <w:t>gramozás. Minden modul tartalmaz multimédiás anyagokat, videókat, játékokat, illetve önellenőrző és teszt kérdéssorokat. Másodlagos cél a középiskolás fiatalok számára online informatikai ismeretek biztosítása. Ennek megfelelően minden modulhoz elérhető eg</w:t>
      </w:r>
      <w:r>
        <w:rPr>
          <w:rFonts w:ascii="Times New Roman" w:eastAsia="Times New Roman" w:hAnsi="Times New Roman" w:cs="Times New Roman"/>
          <w:sz w:val="24"/>
          <w:szCs w:val="24"/>
        </w:rPr>
        <w:t>y könnyített változat, amely részletesen bemutatja egy-egy feladat megoldását, és amely tág teret nyújt az egyéni felfedezésnek. A 12 távoktatási modulon túl elkészült még több mint 40 kurzus az informatika, a matematika, a logisztika, és a gazdaságtan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ületén. Minden kurzus elérhető angol nyelven is. Az új online egyetem a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www.memooc.hu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oldalon érhető el. Az alapját az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keretrendszer adja.</w:t>
      </w:r>
    </w:p>
    <w:p w:rsidR="002A29FC" w:rsidRDefault="00EC3471">
      <w:pPr>
        <w:contextualSpacing w:val="0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proofErr w:type="spellEnd"/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Miskolc and Eszterházy Károly College,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drop-out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up-to-date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self-check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lightened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logis</w:t>
      </w:r>
      <w:r>
        <w:rPr>
          <w:rFonts w:ascii="Times New Roman" w:eastAsia="Times New Roman" w:hAnsi="Times New Roman" w:cs="Times New Roman"/>
          <w:sz w:val="24"/>
          <w:szCs w:val="24"/>
        </w:rPr>
        <w:t>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English version.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www.memooc.hu.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Bevezetés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elmúlt 20 év tapasztalatai azt mutatják, hogy paradigmaváltás történik az oktatá</w:t>
      </w:r>
      <w:r>
        <w:rPr>
          <w:rFonts w:ascii="Times New Roman" w:eastAsia="Times New Roman" w:hAnsi="Times New Roman" w:cs="Times New Roman"/>
          <w:sz w:val="24"/>
          <w:szCs w:val="24"/>
        </w:rPr>
        <w:t>sban. E jelenséget vizsgálva felismerhető, hogy több oka is van annak, hogy más elvek mentén kell kialakítani, fejleszteni a jövő oktatását, mint az eddigiekben ez megszokott volt. Az okokat vizsgálva kijelenthetjük, hogy a mai generáció merőben eltér az é</w:t>
      </w:r>
      <w:r>
        <w:rPr>
          <w:rFonts w:ascii="Times New Roman" w:eastAsia="Times New Roman" w:hAnsi="Times New Roman" w:cs="Times New Roman"/>
          <w:sz w:val="24"/>
          <w:szCs w:val="24"/>
        </w:rPr>
        <w:t>vtizedekkel ezelőtti generációktól. A generációváltás jelenségét már számos kutatás alátámasztotta. Míg a régebbi generáció tagjai hosszabb időt szántak az információhoz jutásra, a mai kor digitális bennszülöttjei már élnek azzal az igénnyel, hogy minden i</w:t>
      </w:r>
      <w:r>
        <w:rPr>
          <w:rFonts w:ascii="Times New Roman" w:eastAsia="Times New Roman" w:hAnsi="Times New Roman" w:cs="Times New Roman"/>
          <w:sz w:val="24"/>
          <w:szCs w:val="24"/>
        </w:rPr>
        <w:t>nformációhoz gyorsan kell hozzájutniuk. Emellett további jellemző, hogy jellemzően nem egy-két információ forrásból táplálkoznak, hanem a gyorsan elért, szórt információkból szerzik meg a számukra hasznosakat. A pedagógiai kutatások alátámasztják azt is,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ogy a generációra jellemző az egyre inkább rövidülő koncentrációs képesség, azaz jellemzően egy-egy információ beszerzésére a mai átlag diák már csak maximum 10 percet fordít, egyre inkább megterhelő a mai generáció számára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hosszútávú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figyelem fenntartás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továbbá azzal az igénnyel is él az említett csoport, hogy az információkat szeretik egyre inkább színes forrásból beszerezni. Ennek eredményeképpen mára már nem kielégítő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 oktatás módszertana, továbbá felismerhető, hogy a fiatalok oktatásába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már a tanár, oktató nem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szerepben tud érvényesülni, hanem eredményesebb formája az együttműködésnek, ha az oktató partnerként tekint a hallgatóira.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oktatás folyamatosan digitalizálódik, hiszen a technológia fejlődésével lehetővé vált új lehetőségek kiaknázása az oktatásban is. E tényezőre már több nemzetközi projekt is épül, mivel a hálózati eszközök és a fejlett multimédiás lehetőségek lehetővé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szik az egyre inkább digitalizált, a generáció igényeinek megfelelő oktatást.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 tényezőket figyelembe véve, kijelenthető, hogy az oktatásnak is más irányt kell venni, más csatornákon keresztül kell megközelíteni a diákokat. A Miskolci Egyetem az Eszterház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Károly Főiskolával partnerségben felismerve jelentős lépést tett a digitalizált oktatás felé. A két felsőoktatási intézmény partnerségével, az Európai Unió Szociális alapjának jelentős támogatásával, a Széchenyi Terv keretében létrehozta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angol é</w:t>
      </w:r>
      <w:r>
        <w:rPr>
          <w:rFonts w:ascii="Times New Roman" w:eastAsia="Times New Roman" w:hAnsi="Times New Roman" w:cs="Times New Roman"/>
          <w:sz w:val="24"/>
          <w:szCs w:val="24"/>
        </w:rPr>
        <w:t>s magyar nyelvű online képzési központot (TÁMOP-4.1.2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.F-15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/1-2015-0001 projekt), mely 2015.11.30-óta folyamatosan üzemel.  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platform eredményei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létrehozott oktatási platform már számos eredménnyel büszkélkedhet. A legfőbb eredményei, hogy a fej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lesztés keretében kialakításra kerültek a legújabb, az újonnan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kidolgozott módszertan szerinti tananyagaik. E tananyagok jellemzője, hogy nagy számban tartalmaznak multimédiás anyagokat, videókat, önellenőrző és teszt kérdéssorokat,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nagy mértékben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törek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ednek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gamifikált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oktatásra, azaz olyan játékokat tartalmaznak, melyek segítik a tudás megszilárdítását, elsajátítását és tesztelését.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kialakított platformban elérhető tananyagok mindegyikére jellemző, hogy ingyenesen elérhetőek mindenki számára Magyaro</w:t>
      </w:r>
      <w:r>
        <w:rPr>
          <w:rFonts w:ascii="Times New Roman" w:eastAsia="Times New Roman" w:hAnsi="Times New Roman" w:cs="Times New Roman"/>
          <w:sz w:val="24"/>
          <w:szCs w:val="24"/>
        </w:rPr>
        <w:t>rszágról és külföldről egyaránt.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platform kialakítása során 12 távoktatási modul jött létre, melyek a Mérnökinformatikus FOSZ képzés ismeretanyagát fedik le. E 12 modul elkészült magyar, illetve angol nyelven is. A modul nevet az indokolja, hogy olyan 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negységeket tartalmaz, mely segítségével akár több képzésben felhasználhatók az ismeretanyagtól függően. A további jellemző, hogy a modulok úgy kerültek kialakításra, hogy megállják a helyüket távoktatási formában, de felhasználhatóak az úgynevezett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módszertana szerint is. Ennek köszönhetően csökkenthető a szükséges kontaktórák száma. A kialakított moduloknak keretet adó rendszer lehetővé teszi további a közösségi segítségnyújtást és a távoktatást segítő kommunikációt, támogatja a tanár-diá</w:t>
      </w:r>
      <w:r>
        <w:rPr>
          <w:rFonts w:ascii="Times New Roman" w:eastAsia="Times New Roman" w:hAnsi="Times New Roman" w:cs="Times New Roman"/>
          <w:sz w:val="24"/>
          <w:szCs w:val="24"/>
        </w:rPr>
        <w:t>k, és a diák-diák kommunikációs formákat.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12 távoktatási modulból a középiskolák hallgatói felé nyitás okán elkészültek a könnyített változatok, melyek ugyan beszámítható krediteket nem eredményeznek, de segíthetik a döntést a pályaválasztás során a hall</w:t>
      </w:r>
      <w:r>
        <w:rPr>
          <w:rFonts w:ascii="Times New Roman" w:eastAsia="Times New Roman" w:hAnsi="Times New Roman" w:cs="Times New Roman"/>
          <w:sz w:val="24"/>
          <w:szCs w:val="24"/>
        </w:rPr>
        <w:t>gatók számára, illetve felkelthetik a középiskolák diákjainak érdeklődését a felsőoktatás, illetve a platform iránt. A könnyített modulok további jellemzője, hogy részletesen mutatják be egy-egy feladat megoldását, továbbá tág teret nyújtanak az egyéni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fedezésnek.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12 távoktatási modulon túl elkészült még több mint 40 kurzus az informatika, a matematika, a logisztika, és a gazdaságtan területén. E kurzusok is szintén angolul és magyarul érhetőek el. A kurzusok jellemzője, hogy egyszerre alkalmasak külö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nálló oktatási anyagként felhasználásra, önálló tanulásra, továbbá az egyetemi oktatás keretében történő felhasználásra akár a Mérnökinformatikus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akár a Mérnökinformatikus FOSZ képzés során, de több olyan anyag készült, mely alkalmazható más képzések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során is.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projekt a minőségi oktatást tűzte célul maga elé, ugyanakkor tisztában van azzal, hogy nem mindig elegendő magasan kvalifikált oktatók bevonásával jó minőségű tananyagokat kifejleszteni, majd elérhetővé tenni azokat. Célrendszerük enne</w:t>
      </w:r>
      <w:r>
        <w:rPr>
          <w:rFonts w:ascii="Times New Roman" w:eastAsia="Times New Roman" w:hAnsi="Times New Roman" w:cs="Times New Roman"/>
          <w:sz w:val="24"/>
          <w:szCs w:val="24"/>
        </w:rPr>
        <w:t>k megfelelően több olyan elemmel bővült, amely támogatja a hallgatók oktatását, és segítséget nyújt a tanulásban. A megvalósítás során nagy hangsúlyt fektettek az esélyegyenlőségre is. A kurzusok nagy része ugyan távoktatási formában zajlik, ám számos kont</w:t>
      </w:r>
      <w:r>
        <w:rPr>
          <w:rFonts w:ascii="Times New Roman" w:eastAsia="Times New Roman" w:hAnsi="Times New Roman" w:cs="Times New Roman"/>
          <w:sz w:val="24"/>
          <w:szCs w:val="24"/>
        </w:rPr>
        <w:t>aktórát biztosítanak, ahol a hallgatók az esetlegesen felmerülő kérdéseiket tanáraikkal és diáktársaikkal egyaránt megvitathatják. A tanár–diák kapcsolat mellett ugyanis a diák–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kapcsolatnak is nagy jelentőséget tulajdonítanak. A központ weboldalát úgy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alakították ki, hogy megteremtse a közösségi tanulás lehetőségét is. A tananyagokhoz a hallgatók számára elérhető fórumok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oldalak is tartoznak. A fórumok lehetőséget nyújtanak arra, hogy aktív párbeszéd alakuljon ki a hallgatók között a tananyagga</w:t>
      </w:r>
      <w:r>
        <w:rPr>
          <w:rFonts w:ascii="Times New Roman" w:eastAsia="Times New Roman" w:hAnsi="Times New Roman" w:cs="Times New Roman"/>
          <w:sz w:val="24"/>
          <w:szCs w:val="24"/>
        </w:rPr>
        <w:t>l kapcsolatban.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központ mára köze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hallgatót számlál, amely jelentős eredménynek számít az átadás óta eltelt rövid időszakot tekintve. Jelenleg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aktív kurzus fut, melybe beleszámítanak a kifejlesztett tananyagok angol és magyar nyelvű változatai.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platformnak eddig közel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regisztrált felhasználója van, illetve e számok folyamatos növekedést mutatnak.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csoport két hónap alatt több mint ezer kedvelést gyűjtött. A központ összesen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hallgatónál tart, továbbá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elenleg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fő, szakképzett oktató vagy pszichológiai képzettséggel rendelkező mentor végzi, akik tevékenységükkel segítik a hallgatók előrehaladását, illetve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problémáinak megoldását.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központ eredményeihez tartozik, hogy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430 </w:t>
      </w:r>
      <w:r>
        <w:rPr>
          <w:rFonts w:ascii="Times New Roman" w:eastAsia="Times New Roman" w:hAnsi="Times New Roman" w:cs="Times New Roman"/>
          <w:sz w:val="24"/>
          <w:szCs w:val="24"/>
        </w:rPr>
        <w:t>olyan hallgatóva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rendelkezik, akik már egy-egy kurzuson végeztek, tanúsítvánnyal rendelkeznek a kurzusok elvégzéséről, illetve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eredményes kurzusvégzést számlál, ami azt bizonyítja, hogy a hallgatók nagy része nyitott volt több kurzus elvégzésére is, tehát az első kur</w:t>
      </w:r>
      <w:r>
        <w:rPr>
          <w:rFonts w:ascii="Times New Roman" w:eastAsia="Times New Roman" w:hAnsi="Times New Roman" w:cs="Times New Roman"/>
          <w:sz w:val="24"/>
          <w:szCs w:val="24"/>
        </w:rPr>
        <w:t>zus elvégzése után nem hagyta el a platformot, ami biztató eredmény a projekt számára.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projekt háttere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projekt a Miskolci Egyetem Informatikai Intézetében jött létre. Az intézet a műszaki felsőoktatás világában nagy hagyományokkal bíró Miskolci Egyetem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Gépészmérnöki és Informatikai karának része, mely igyekszik lépést tartani a folyamatos technológiai és módszertani fejlődéssel, környezettel. Az intézmény jelentős eredményeit mutatja, hogy a Miskolcon szerzett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piac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megbecsu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karon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kereslet van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foglalkoztato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́k és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fejvada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̈ré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karon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három informatikai alapszak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ginformatikus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kinformatikus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programtervezo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̋ informatikus) mellett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kinformatikus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mesterszakot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>zthatja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́k az é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rdeklo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̋k, és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̋ség van a doktori fokozat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megszerze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́sére is. A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modulra é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2016-ban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kurzusok is indulhatnak, és új,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kinformatikusasszisztens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szakke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́lá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megindult a projekt kereté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Miskolci Egyetem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̈ki és Informatikai kara a magas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informatikuske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̋sé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́já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jelenlegi és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céljai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fő célja - ill</w:t>
      </w:r>
      <w:r>
        <w:rPr>
          <w:rFonts w:ascii="Times New Roman" w:eastAsia="Times New Roman" w:hAnsi="Times New Roman" w:cs="Times New Roman"/>
          <w:sz w:val="24"/>
          <w:szCs w:val="24"/>
        </w:rPr>
        <w:t>eszkedve a Miskolci Egyetem stratégiai céljához -, hogy megvalósítsa az IKT szektor és a kiemelt húzóágazatok IKT szakemberutánpótlás-képzésének minőségi és mennyiségi fejlesztését. Az on-line tanulás lehetőségeit kiaknázó, a területen fejlesztést végrehaj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tó projekt megvalósulásával a képzések nem csak új formát öltöttek, hanem sokkal szélesebb körben váltak elérhetővé, bővítve a Miskolci Egyetem képzési palettáját. A fejlesztők reményei szerint ennek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eredményeképen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növekedni fog a régióban az informatikai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képzéseken végzettek száma, akik olyan szakértelemmel rendelkeznek, mely versenyképesé teszi őket a piacon.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kialakítás céljainak meghatározásánál a fejlesztők figyelembe vették a vállalati szféra elvárásait. A térségben képzéseket nyújtó intézmények köz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ös problémája, hogy bár elismert, minőségi képzéseket nyújtanak, ennek ellenére az intézményektől független okok miatt kevésbé vonzó alternatívát jelentenek a hallgatók számára, mint a nyugatibb régió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intézményeinek képzései. A további probléma, mely nem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sak a régióra terjed ki, hanem az egész hazai informatikai képzések rendszerére, hogy nagyon magas a képzésből lemorzsolódók aránya, részben azért, mert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hallgaók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része már korábban munkába áll, részben azért mert sok esetben fordulnak elő olyan tanu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lási nehézségek a hallgatók körében, mely a képzés során kezelhető lenne.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célok e problémák alapján fogalmazódtak meg. Az operatív célok főként a térség igényei alapján kerültek meghatározásra. Ezen operatív célok voltak az on-line magyar és angol nyelv</w:t>
      </w:r>
      <w:r>
        <w:rPr>
          <w:rFonts w:ascii="Times New Roman" w:eastAsia="Times New Roman" w:hAnsi="Times New Roman" w:cs="Times New Roman"/>
          <w:sz w:val="24"/>
          <w:szCs w:val="24"/>
        </w:rPr>
        <w:t>ű képzési központ létrehozása, az új tanulási módszertan kidolgozása, az új tanulási módszertanra alapuló tananyagok fejlesztése, az oktatók felkészítése a módszertanra, a mentorrendszer kialakítása és bevezetése, a központ akadálymentes kialakítása, a 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orzsolódás csökkentése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képzéseken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 képzés széles körben való láthatóságának biztosítása és nyílttá tétele, rugalmas reagálás a munkaerő piac igényeire.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 célokra épültek a platform kiemelt céljai, miszerint a több végzett informatikus hallgató, a</w:t>
      </w:r>
      <w:r>
        <w:rPr>
          <w:rFonts w:ascii="Times New Roman" w:eastAsia="Times New Roman" w:hAnsi="Times New Roman" w:cs="Times New Roman"/>
          <w:sz w:val="24"/>
          <w:szCs w:val="24"/>
        </w:rPr>
        <w:t>zaz az informatikai képzési területeken a végzések számának növelése, emellett az új képzési formák kialakítása és tartalmak létrehozása. Továbbá kiemelt cél volt, hogy a tananyagok úgy készüljenek el, hogy széles körben is hozzáférhetőek legyenek, és több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korcsoport igényeit is képesek legyenek kielégíteni, segítséget nyújtsanak a pályaválasztásban, a képzések iránt a hallgatók figyelmének felkeltésében.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kialakított rendszer áttekintése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rendszer, melyen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oktatási platform alapul, 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egyik legjelentősebb szereplője a MOOC rendszerek piacának. A rendszer létrejötténél fő szerepet játszott a Harvard Egyetem és az MIT, de több jelentős külföldi egyetem is előszeretettel használja saját oktatási platformjának fejlesztésére, alapjául. 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számos nagy multinacionális vállalat támogatását is élvezi, ilyenek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Microsoft, de ide sorolhatnánk még számos piacvezető IT megoldást szállító vállalatot is.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tananyagok köre igen széles. Számos terület tananyagai megtalálhatóak benne, </w:t>
      </w:r>
      <w:r>
        <w:rPr>
          <w:rFonts w:ascii="Times New Roman" w:eastAsia="Times New Roman" w:hAnsi="Times New Roman" w:cs="Times New Roman"/>
          <w:sz w:val="24"/>
          <w:szCs w:val="24"/>
        </w:rPr>
        <w:t>ilyen területek a fizika, biológia, kémia, matematika, számítástechnika, de nem csak a természettudományhoz köthető tárgyak közül választhatnak felhasználói, hanem számos művészeti, bölcsészettudományi, jogi és gazdasági anyagot tartalmaz.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2013-ban egy 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ódi áttörést jelentett, amikor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bejelentette, hogy elkészíti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néven a MOOC rendszer ingyenes változatát felsőoktatási intézmények számára. Ez teret nyitott az intézményeknek, hogy kialakíthassák a saját maguk által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rendszereiket.  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ingyenes változat is követi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hagyományait, miszerint a tananyagok heti bontásban vannak elosztva, az anyagok feldolgozására általában 10-12 hét áll rendelkezésre és természetesen a tananyagok kialakítása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időtartam köré szerveződik. Ez jelentős e</w:t>
      </w:r>
      <w:r>
        <w:rPr>
          <w:rFonts w:ascii="Times New Roman" w:eastAsia="Times New Roman" w:hAnsi="Times New Roman" w:cs="Times New Roman"/>
          <w:sz w:val="24"/>
          <w:szCs w:val="24"/>
        </w:rPr>
        <w:t>lőny, hiszen a jelen felsőoktatási rendszer szemesztereihez könnyen igazítható, a hagyományokba illeszkedő módszertant követ a rendszer és az ott fejlesztett tananyagok nagy része.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felmérte, hogy az online tananyagok körében történő lemorzsolódás 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áma általában magas, nagyjából 50%. Ennek fő okai általában, hogy a tananyagok nem elég kompaktak,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nem illeszthetőek a hallgatók életmódjába, illetve nem alkalmazkodnak a felhasználók jellemzőihez, hiszen az online formában történő tanulást manapság legink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ább másodlagos, vagy harmadlagos tevékenység közé tudjuk sorolni. Ennek érdekében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kurzusok jellemzője, hogy rövidek, koncentráltak, a tananyagok 12-20 perc alatt feldolgozhatóak, és 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esetében is jelentős mennyiségű multimédiás támogatás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élveznek. Ennek következtében egy olyan rendszer állt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kialakítása során rendelkezésre, mely széles eszköztárat kínált a kidolgozott és bevezetni kívánt oktatási módszertan megvalósításához. A tananyagok feldolgozása során legtöbb esetben fontos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egymásra épülés, de némely tananyag esetében ez a lehetőség opcionálissá tehető.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 további előnye, hogy nem csak egy szimpla tanulási környezetet valósít meg, hanem a tanulás a szociális tapasztalás útján is történhet, aminek érdekében rendelkezésre állnak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oldalak, fórumok és teret ad a személyes kapcsolattartás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 is.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 számos pontok követi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hagyományait, módszereit. A jellemzője, hogy a diák ösztönözve van, hogy kérdéseket tegyen fel a fórumokon, így a rendszer elősegíti a szociális kapcsolatok kialakítását, a közösségi tanulást.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rendszer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támogatást nyújt. A rendszer mentorainak tevékenysége nem csak abban áll, hogy útmutatást adjon a tananyag, de lehetőség van hasznos tippek, trükkök megosztására a sikeres online tanulás érdekében.</w:t>
      </w:r>
    </w:p>
    <w:p w:rsidR="002A29FC" w:rsidRDefault="00EC3471">
      <w:pPr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eszközök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elsősorban az IT képzésekre specializálódik. Ennek érdekében kiemelt szempont volt, hogy létrejöjjön egy olyan komponenst a rendszerben, mely képes a forráskódok támogatására,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validálására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valós idejű ellenőrzésére. E feladatra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egy remek megoldás</w:t>
      </w:r>
      <w:r>
        <w:rPr>
          <w:rFonts w:ascii="Times New Roman" w:eastAsia="Times New Roman" w:hAnsi="Times New Roman" w:cs="Times New Roman"/>
          <w:sz w:val="24"/>
          <w:szCs w:val="24"/>
        </w:rPr>
        <w:t>t kínált a megvalósítók számára.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(kiértékelő) eszközei képesek valós időben visszajelzéseket küldeni a hallgatónak a forráskóddal kapcsolatban, így a tanuláshoz nem szükséges az ablakok váltogatása az online platform és a felhasználó számít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ógépére telepített IDE eszköz között, továbbá az online tanulás nem válik eszközfüggővé, bármilyen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paltformról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bármilyen eszközön képesek vagyunk tesztelni, kipróbálni a forráskódokat.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rövid példa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eszköz használatára:</w:t>
      </w:r>
    </w:p>
    <w:p w:rsidR="002A29FC" w:rsidRDefault="00EC3471">
      <w:pPr>
        <w:contextualSpacing w:val="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058093" cy="22699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093" cy="2269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9FC" w:rsidRDefault="00EC3471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.kép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Egyszerű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soronkénti tesztelésre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.képen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látható példában a hallgató feladat volt, hogy olvasson be egy byte értéket a standard inputról, majd tárolja le azt egy változóban. A hallgató megoldásának ellenőrzésére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JavaScript Display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feladattípus használható, mely képes kielemezni soronként a diák megoldását és jelezni, ha hibát véd a forráskódban.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eszközben lehetőség van továbbá egység tesztek segítségével a kódok tesztelésére. E feladattípus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megköveltei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JDK7 és JUni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t4 telepítését a szerverre. A megoldás segítségével egyszerű metódusok és komplett programok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kiemenetei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ellenőrizhetők.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assertEquals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metódus meghívására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válasza összehasonlítható a hallgató által várt outputtal.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harmadik lehetőség a kódok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ellenőrzésére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Mockito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használata. Ha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swingx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komponensével teszteljük a kódot, az képes ellenőrizni a hallgató által létrehozott objektumokat. Például ha a hallgató három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CheckBoxot</w:t>
      </w:r>
      <w:r>
        <w:rPr>
          <w:rFonts w:ascii="Times New Roman" w:eastAsia="Times New Roman" w:hAnsi="Times New Roman" w:cs="Times New Roman"/>
          <w:sz w:val="24"/>
          <w:szCs w:val="24"/>
        </w:rPr>
        <w:t>-ot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rak fel, ellenőrizni tudjuk, hogy meghívódik-e három alkalommal az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ddItemListener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Ahhoz, hogy az ellenőrzést befejezzük, szerver oldalon futtatnunk kell az ellenőrzésért felelős modulokat. Ez lehetőséget nyújt, hogy szerver oldalon ellenőrizzük a példányok referenciáit, és ha a program tesztelése során nem találunk refe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renciát az objektumra, akkor hibát jelzünk, és e hibát lekezelve értesítést küldünk a hallgató által használt felületre.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eszköz egyetlen hátránya, hogy jelenleg nem támogatja a különböző nyelvű forráskódok ellenőrzésére alkalmas hátteret, de a jö</w:t>
      </w:r>
      <w:r>
        <w:rPr>
          <w:rFonts w:ascii="Times New Roman" w:eastAsia="Times New Roman" w:hAnsi="Times New Roman" w:cs="Times New Roman"/>
          <w:sz w:val="24"/>
          <w:szCs w:val="24"/>
        </w:rPr>
        <w:t>vőben a platform fejlesztői tervezik e terület kibővítését.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tananyagok felépítése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platform kialakítása során számos új tananyag született, mely új módszertan kialakítását is magával hozta. Áttekintve a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www.memo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oc.hu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elérhető képzéseket a tananyagok felépítése újszerű módszertant követ.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tananyagok a következőkben definiált didaktikai modulokból állnak össze, melyek technikailag tanulási objektumokba szerveződnek:</w:t>
      </w:r>
    </w:p>
    <w:p w:rsidR="002A29FC" w:rsidRDefault="00EC3471">
      <w:pPr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Definíció(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ismeret):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Ismeretnek nevezzük azt </w:t>
      </w:r>
      <w:r>
        <w:rPr>
          <w:rFonts w:ascii="Times New Roman" w:eastAsia="Times New Roman" w:hAnsi="Times New Roman" w:cs="Times New Roman"/>
          <w:sz w:val="24"/>
          <w:szCs w:val="24"/>
        </w:rPr>
        <w:t>a megszerezhető kompetencia, tudás, készség egységét, mely birtokában a hallgató képes egy meghatározott problémakör megoldására.</w:t>
      </w:r>
    </w:p>
    <w:p w:rsidR="002A29FC" w:rsidRDefault="00EC3471">
      <w:pPr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Definíció(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tananyag): </w:t>
      </w:r>
      <w:r>
        <w:rPr>
          <w:rFonts w:ascii="Times New Roman" w:eastAsia="Times New Roman" w:hAnsi="Times New Roman" w:cs="Times New Roman"/>
          <w:sz w:val="24"/>
          <w:szCs w:val="24"/>
        </w:rPr>
        <w:t>Tananyagnak nevezzük azt a didaktikai egységet, mely egy jól körülhatárolható ismeretet fed le.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Definíció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(modul):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Modulnak nevezzük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rendszerében azokat az oktatási elemeket, melyek több képzésben felhasználhatóak, egy tématerülethez tartozó tananyagokat ölelnek fel, és jellemzően tíz kredit értéket lehet megszerezni az elsajátításukkal.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Definíció (k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urzus): </w:t>
      </w:r>
      <w:r>
        <w:rPr>
          <w:rFonts w:ascii="Times New Roman" w:eastAsia="Times New Roman" w:hAnsi="Times New Roman" w:cs="Times New Roman"/>
          <w:sz w:val="24"/>
          <w:szCs w:val="24"/>
        </w:rPr>
        <w:t>Kurzusnak nevezzük a távoktatásban használt tananyagokat.</w:t>
      </w:r>
    </w:p>
    <w:p w:rsidR="002A29FC" w:rsidRDefault="00EC3471">
      <w:pPr>
        <w:contextualSpacing w:val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Definícó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lecke): </w:t>
      </w:r>
      <w:r>
        <w:rPr>
          <w:rFonts w:ascii="Times New Roman" w:eastAsia="Times New Roman" w:hAnsi="Times New Roman" w:cs="Times New Roman"/>
          <w:sz w:val="24"/>
          <w:szCs w:val="24"/>
        </w:rPr>
        <w:t>Leckének nevezzük a tananyagok szervező egységeit, mely minden esetben három specifikus részre tagolódik és a feldolgozása maximum 20 percet vesz igénybe.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platformban elér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hető tananyagok fejezetekre tagolódnak. A fejezeteken belül leckék találhatók. Egy lecke - hasonlóan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oktatási módszertanához - 12 -20 perc alatt feldolgozható tudásanyagot fed le. A leckék három fázisra bonthatók: motiváció/ figyelemfelkeltés, ismere</w:t>
      </w:r>
      <w:r>
        <w:rPr>
          <w:rFonts w:ascii="Times New Roman" w:eastAsia="Times New Roman" w:hAnsi="Times New Roman" w:cs="Times New Roman"/>
          <w:sz w:val="24"/>
          <w:szCs w:val="24"/>
        </w:rPr>
        <w:t>tátadás, elmélyítés/gyakorlat.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motivációs fázis általában 3-4 perc közötti hosszal bír. E részben kerül bemutatásra a feladat, amely még ebben a részben nem elvártan triviális a hallgató számára. Erre egy klasszikus példa az első 1000 szám összegének meg</w:t>
      </w:r>
      <w:r>
        <w:rPr>
          <w:rFonts w:ascii="Times New Roman" w:eastAsia="Times New Roman" w:hAnsi="Times New Roman" w:cs="Times New Roman"/>
          <w:sz w:val="24"/>
          <w:szCs w:val="24"/>
        </w:rPr>
        <w:t>határozása, mely a megoldó képlet ismeretében már könnyű, de annak hiányában elsőre nem triviális feladat. Ezt a fázis követi az ismeretátadási fázis. E fázis jellemzője, hogy igyekszik absztrakt módon bemutatni a lecke ismeretanyagát, ügyel az összefüggés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 megvilágítására, bemutatja az új ismeretek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gyakrolati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alkalmazását. Az előző példánál maradva, ismerteti egy számtani sorozat összegének kiszámító képletét, majd bemutatja ennek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pszeudókódját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aztán JAVA nyelven is ismerteti a megoldást. Ennek hossza ál</w:t>
      </w:r>
      <w:r>
        <w:rPr>
          <w:rFonts w:ascii="Times New Roman" w:eastAsia="Times New Roman" w:hAnsi="Times New Roman" w:cs="Times New Roman"/>
          <w:sz w:val="24"/>
          <w:szCs w:val="24"/>
        </w:rPr>
        <w:t>talában hat-nyolc, maximum tíz percre tehető. Továbbá ide sorolhatók még az önellenőrző feladatok is, melyek az újonnan szerzett ismeretekhez kapcsolódnak. A lecke legutolsó fázisa egy gyakorlási fázis, mely az ismeretek megszilárdítását szolgálja. Ennek l</w:t>
      </w:r>
      <w:r>
        <w:rPr>
          <w:rFonts w:ascii="Times New Roman" w:eastAsia="Times New Roman" w:hAnsi="Times New Roman" w:cs="Times New Roman"/>
          <w:sz w:val="24"/>
          <w:szCs w:val="24"/>
        </w:rPr>
        <w:t>ényege, hogy konkrét példán keresztül mutatja be a tárgyat képező ismeret alkalmazását. Legtöbbször fokozatosan nehezednek a feladatok, ugyanakkor a könnyű feladatoktól, a haladó feladatig igyekszik eljuttatni a hallgatók az új ismeret alkalmazásával. A ki</w:t>
      </w:r>
      <w:r>
        <w:rPr>
          <w:rFonts w:ascii="Times New Roman" w:eastAsia="Times New Roman" w:hAnsi="Times New Roman" w:cs="Times New Roman"/>
          <w:sz w:val="24"/>
          <w:szCs w:val="24"/>
        </w:rPr>
        <w:t>fejlesztett tananyagok nagy részén felismerhető az egyszerűség elve, azaz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feladatok többsége csak annyira nehéz, amennyire az szükséges, és annyira egyszerű amennyire csak lehet. E fázis általában 1-2 feladat kidolgozását tartalmazza, illetve több, fok</w:t>
      </w:r>
      <w:r>
        <w:rPr>
          <w:rFonts w:ascii="Times New Roman" w:eastAsia="Times New Roman" w:hAnsi="Times New Roman" w:cs="Times New Roman"/>
          <w:sz w:val="24"/>
          <w:szCs w:val="24"/>
        </w:rPr>
        <w:t>ozatosan nehezedő feladatot. A hosszát tekintve, nagyjából 5-6 percet igényel a hallgatótól.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leckék mindegyike tartalmaz szöveget, vagy diasorozatot, videót vagy animációt, kidolgozott gyakorlati feladatokat, megoldandó feladatokat, illetve önellenőrző kérdéseket. A videók, animációk jellemzője, hogy általában 4-5 percesek, és koncentráltan adjá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át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tannyagot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továbbá példákat mutatnak be és tartalmaznak oktatói narrációt. A technikai megvalósítást tekintve a videót minden esetben visszapörgethetők, lassítható a lejátszási sebességük, illetve feliratozva is tartalmaznak narrációt, segédletet.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Általában a huszadik-harmincadik lecke egy zárthelyi feladatsort tartalmaz, de ez tananyagonként eltérő lehet illeszkedve a tananyag specifikus sajátosságaihoz. A tananyagok nagy része tartalmaz játékokat, melynek célja, hogy a tudás megszilárdítása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gamifi</w:t>
      </w:r>
      <w:r>
        <w:rPr>
          <w:rFonts w:ascii="Times New Roman" w:eastAsia="Times New Roman" w:hAnsi="Times New Roman" w:cs="Times New Roman"/>
          <w:sz w:val="24"/>
          <w:szCs w:val="24"/>
        </w:rPr>
        <w:t>kált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módon történjen.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modulok esetében egy tananyag, kreditértéktől függően 100, 200, vagy 300 leckét tartalmaz. Amennyiben az átadni kívánt tananyag nagyobb lélegzetű,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előforudl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hogy a leckék összefonódnak, vagy egybeolvadnak, de a legtöbb tananyagot </w:t>
      </w:r>
      <w:r>
        <w:rPr>
          <w:rFonts w:ascii="Times New Roman" w:eastAsia="Times New Roman" w:hAnsi="Times New Roman" w:cs="Times New Roman"/>
          <w:sz w:val="24"/>
          <w:szCs w:val="24"/>
        </w:rPr>
        <w:t>áttekintve az oktatók és tananyagkészítők törekedtek a leckénkénti tagolás betartására.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készítői bevezették a tanulási objektum (angolul: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fogalmát, mely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edX-ből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nyert terminológián alapszik. A tanulási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obejktumok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következők l</w:t>
      </w:r>
      <w:r>
        <w:rPr>
          <w:rFonts w:ascii="Times New Roman" w:eastAsia="Times New Roman" w:hAnsi="Times New Roman" w:cs="Times New Roman"/>
          <w:sz w:val="24"/>
          <w:szCs w:val="24"/>
        </w:rPr>
        <w:t>ehetnek: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Videó, animáció: 4-5 perc hosszú animációk, a tananyagfejlesztő narrációjával, jellemzően az ismeretátadási fázisban kapnak helyet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Szövegelemek, diasorok: Jellemzően 2-3 oldalnyi szöveg, illetve 8-10 dia mely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ismeretádási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fázishoz sorolható, i</w:t>
      </w:r>
      <w:r>
        <w:rPr>
          <w:rFonts w:ascii="Times New Roman" w:eastAsia="Times New Roman" w:hAnsi="Times New Roman" w:cs="Times New Roman"/>
          <w:sz w:val="24"/>
          <w:szCs w:val="24"/>
        </w:rPr>
        <w:t>lletve minden fázishoz egy rövidebb magyarázó szöveg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Önellenőrző kérdéssorok: A hallgatók számára a tudásszint ellenőrzését szolgáló tesztek, mely alkalmas arra, hogy a hallgató ellenőrizni tudja, hogy milyen mértékben sikerült elsajátítani az ismeretanyag</w:t>
      </w:r>
      <w:r>
        <w:rPr>
          <w:rFonts w:ascii="Times New Roman" w:eastAsia="Times New Roman" w:hAnsi="Times New Roman" w:cs="Times New Roman"/>
          <w:sz w:val="24"/>
          <w:szCs w:val="24"/>
        </w:rPr>
        <w:t>ot. Egy ilyen kérdéssor jellemzően legalább 5 kérdésből áll és általában az elmélyítési fázis részét képezi.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Kidolgozott feladatok: Leckénként legalább egy kidolgozott feladat, mely bemutatja, hogy a leckéhez tartozó ismeretet hogyan kell alkalmazni konkré</w:t>
      </w:r>
      <w:r>
        <w:rPr>
          <w:rFonts w:ascii="Times New Roman" w:eastAsia="Times New Roman" w:hAnsi="Times New Roman" w:cs="Times New Roman"/>
          <w:sz w:val="24"/>
          <w:szCs w:val="24"/>
        </w:rPr>
        <w:t>t feladatok megoldására. Általában az elmélyítési fázis részét képezi.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Megoldandó feladatok: A kidolgozott feladatokhoz hasonló feladatok, melyek szintén az elmélyítési fázis részét képezik. Általában három ilyen feladat található leckénként, illetve a fel</w:t>
      </w:r>
      <w:r>
        <w:rPr>
          <w:rFonts w:ascii="Times New Roman" w:eastAsia="Times New Roman" w:hAnsi="Times New Roman" w:cs="Times New Roman"/>
          <w:sz w:val="24"/>
          <w:szCs w:val="24"/>
        </w:rPr>
        <w:t>adatok jellemzője, hogy fokozatosan nehezednek, és alkalmazzák a már leírt egyszerűség és fokozatosság elvét.</w:t>
      </w:r>
    </w:p>
    <w:p w:rsidR="002A29FC" w:rsidRDefault="00EC3471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Játékok: Olyan játékobjektumok, melyek segítik a leckében elsajátított tudás megszilárdítását, gyakorlását. Az alkalmazott esetekben az elmélyítés</w:t>
      </w:r>
      <w:r>
        <w:rPr>
          <w:rFonts w:ascii="Times New Roman" w:eastAsia="Times New Roman" w:hAnsi="Times New Roman" w:cs="Times New Roman"/>
          <w:sz w:val="24"/>
          <w:szCs w:val="24"/>
        </w:rPr>
        <w:t>i fázis részét képezi.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leckék típusát tekintve egy többféle is lehet. A legtöbb lecke a fent leírt elveket követi, de előfordulnak speciális ZH leckék, illetve játék leckék. A ZH leckék egy-egy összefüggő ismeretanyag lezárását szolgálják, legalább ötven kérdésből álló adatbáz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tartozik hozzájuk, melyből a megadott paraméterektől függően véletlenszerűen kerülhetnek kiválasztásra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képező kérdések. A kérdések alapját legtöbbször az önellenőrző kérdések képezik. Egy zárthelyi feladatsor megoldása maximum hatvan percet vesz </w:t>
      </w:r>
      <w:r>
        <w:rPr>
          <w:rFonts w:ascii="Times New Roman" w:eastAsia="Times New Roman" w:hAnsi="Times New Roman" w:cs="Times New Roman"/>
          <w:sz w:val="24"/>
          <w:szCs w:val="24"/>
        </w:rPr>
        <w:t>igénybe, illetve minden zárthelyi elején található egy bevezető szöveges rész, mely ismerteti a zárthelyi menetét. Átlagosan minden harmincadik lecke, zárthelyi lecke. A zárthelyi további jellemzője, hogy a feladatok megoldását a rendszer automatikusan ért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ékeli, ennek eredményét a hallgató a válaszok elküldése után azonnal megismeri.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játék típusú leckék minden esetben az elsajátított ismeretanyagon alapulnak, továbbá alkalmasak böngészőben való futtatásra és integrálva vannak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rendszerébe. Általá</w:t>
      </w:r>
      <w:r>
        <w:rPr>
          <w:rFonts w:ascii="Times New Roman" w:eastAsia="Times New Roman" w:hAnsi="Times New Roman" w:cs="Times New Roman"/>
          <w:sz w:val="24"/>
          <w:szCs w:val="24"/>
        </w:rPr>
        <w:t>ban minden 25. lecke egy játékot tartalmaz.</w:t>
      </w:r>
    </w:p>
    <w:p w:rsidR="002A29FC" w:rsidRDefault="00EC3471">
      <w:pPr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Mentorálás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rendszerében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céljai közé tartozott a lemorzsolódás csökkentése az informatikai képzések területén. Ennek érdekében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platformhoz egy hatékony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 került kidol</w:t>
      </w:r>
      <w:r>
        <w:rPr>
          <w:rFonts w:ascii="Times New Roman" w:eastAsia="Times New Roman" w:hAnsi="Times New Roman" w:cs="Times New Roman"/>
          <w:sz w:val="24"/>
          <w:szCs w:val="24"/>
        </w:rPr>
        <w:t>gozása, amely meghatározott óraszámban mentori támogatást nyújt a hallgatóknak. Platform készítőinek célja, hogy a hallgatók a képzéseik támogatása mellett, megfelelő támogatást kapjanak pedagógiai és pszichológiai szakemberek által, ezen túl hatékony segí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tséget kapjanak az online eszközök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használhatában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mentorok feladata, hogy segítséget nyújtsanak a tanulóknak a képzés nyújtotta lehetőségek átlátásában, az előtte álló feladatok teljesítésben. A támogatás különböző csatornák segítségével történik, illet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a hallgató azon a területen részesül segítségben, ahol úgy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érzi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nehézségei vannak.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 magában foglal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órákat, a felület fórumaink keresztüli kommunikációt, de lehetőséget biztosít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történő kommunikációra is. Emellett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mentor további feladat, hogy segítse a hallgatók közötti és a hallgató-tanár közötti kapcsolatot, összhangot. A mentor mindemellett motiválja a hallgatót, leginkább kommunikáció útján, párbeszédet teremt a fórumokon, majd lehetőség szerint megválaszolja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tömegesen jelentkező kérdéseket, fenntartja a közösséget, moderálja a fórumot, illetve szükség esetén igyekszik megoldani az adódó problémás helyzeteket.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Összeségében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mentori feladat arra a pedagógiai elvre épül, hogy a hallgatók személyes elérése, kap</w:t>
      </w:r>
      <w:r>
        <w:rPr>
          <w:rFonts w:ascii="Times New Roman" w:eastAsia="Times New Roman" w:hAnsi="Times New Roman" w:cs="Times New Roman"/>
          <w:sz w:val="24"/>
          <w:szCs w:val="24"/>
        </w:rPr>
        <w:t>csolatteremtés a hallgatókkal plusz motivációt adhat egy online platformon végzett képzés során.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rendszer bevezetése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támogató funkciókat is kialakítottak a készítők. A rendszernek számos előnyét ki lehet emelni, de a törekvés egyik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gnagyobb pozitívuma,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során olyan személyes kapcsolatok alakulhatnak ki, melyből mind a mentor, mind a hallgató profitálhat.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előnye, hogy a hallgatókat partnerként kezelik, és a legújabb pedagógiai elveknek megfelelően 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yekszenek csökkenteni a hallgató-tanár közötti hierarchikus viszonyt, olyannyira, hogy számos esetben előfordulhat, hogy a hallgató és mentora közös projekteken dolgozhatnak együtt.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 tehát illeszkedik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alkotói által hangoztato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 szlogenhez, mely azt mondja a “Közösségi tanulás élménye”, ugyanis várhatóan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mentorálási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 mentén kiépülhetnek közösségek, mely közösség áthidalja a földrajzi különbözőségekből adódó problémákat. Emellett az oktatás során úttörő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kedeményezésnek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hathat, hogy az oktatói kör eljutott arra a felismerésre, hogy a hallgatók motiválása mellett az egyéni problémák kezelésének is teret kell kapni, ráadásul e segítségadásba bevonható a közösség ereje is. 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Összefoglalás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legutóbbi felmérések azt mutatják,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Magyarországon súlyos hiány mutatkozik a jól képzett IT szakemberekből. A felsőoktatás nem képes kiegészíteni az ágazat növekvő igényeit, és folyamatosan hiány van a területen tevékenykedő jól képzett szakemberekből.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átlagkeresetet illetően az 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legmagasabb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kezdőfizetés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ezen a területen érhető el, ennek ellenére kevesen választják az IT szakokat, továbbá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jeletős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problémát jelent, hogy az IT képzések területén kiemelten magas a lemorzsolódók aránya, azaz jelentős azon hallgatók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akik elhagy</w:t>
      </w:r>
      <w:r>
        <w:rPr>
          <w:rFonts w:ascii="Times New Roman" w:eastAsia="Times New Roman" w:hAnsi="Times New Roman" w:cs="Times New Roman"/>
          <w:sz w:val="24"/>
          <w:szCs w:val="24"/>
        </w:rPr>
        <w:t>ják a képzéseket, továbbá magas azoknak a száma is akik már a végzés előtt munkába állnak, így tanulmányaikat nem, vagy csak késve fejezik be.</w:t>
      </w:r>
    </w:p>
    <w:p w:rsidR="002A29FC" w:rsidRDefault="00EC3471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projekt megvalósulását két olyan intézmény támogatta és hajtotta végre, amelyekben nagy múltú IT képzés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folyik. Az intézmények az Észak-Magyarországi régióban találhatók, ahol az egyik legégetőbb a szakember hiány. Az intézmények olyan választ szerettek volna adni a problémákra az online képzési központ létrehozásával, amely hozzájárul a térség fejlődéséhez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növelve a térségben képesítést szerzett szakemberek számát és enyhítve a minőségi és mennyiségi szakemberhiányt.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központ nem csak szabad hozzáférést ad számos tananyaghoz angol és magyar nyelven, hanem hatékony mentorrendszerrel támogatja a kitűzö</w:t>
      </w:r>
      <w:r>
        <w:rPr>
          <w:rFonts w:ascii="Times New Roman" w:eastAsia="Times New Roman" w:hAnsi="Times New Roman" w:cs="Times New Roman"/>
          <w:sz w:val="24"/>
          <w:szCs w:val="24"/>
        </w:rPr>
        <w:t>tt célok elérését, hangsúlyt fektet a hátrányos helyzetű diákok esélyegyelőségére és igyekszik csökkenteni a lemorzsolódást. Mind a tizenkét modult kifejlesztették angol és magyar nyelven, illetve készült ezeknek egy könnyített változata is. A haladó modul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beszámítható kreditértéket jelentenek a Miskolci Egyetem képzéseiben, támogatják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módszertanát, a távoktatást, csökkentik a szükséges kontaktórák számát, míg a könnyített modulok segítik az érdeklődés felkeltését a képzések, a platform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iránt. </w:t>
      </w:r>
    </w:p>
    <w:p w:rsidR="002A29FC" w:rsidRDefault="002A29FC">
      <w:pPr>
        <w:contextualSpacing w:val="0"/>
        <w:jc w:val="both"/>
      </w:pPr>
    </w:p>
    <w:sectPr w:rsidR="002A29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181"/>
    <w:multiLevelType w:val="multilevel"/>
    <w:tmpl w:val="FBAE0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C"/>
    <w:rsid w:val="002A29FC"/>
    <w:rsid w:val="00E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EF8C-8F06-47A0-BC79-919F42D5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Cmsor2">
    <w:name w:val="heading 2"/>
    <w:basedOn w:val="Norml"/>
    <w:next w:val="Norm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5F91"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cm">
    <w:name w:val="Subtitle"/>
    <w:basedOn w:val="Norml"/>
    <w:next w:val="Norm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oc.hu-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oc.hu" TargetMode="External"/><Relationship Id="rId5" Type="http://schemas.openxmlformats.org/officeDocument/2006/relationships/hyperlink" Target="mailto:gkusper@aries.ektf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3858</Words>
  <Characters>26623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Kusper</dc:creator>
  <cp:lastModifiedBy>Kusper</cp:lastModifiedBy>
  <cp:revision>2</cp:revision>
  <dcterms:created xsi:type="dcterms:W3CDTF">2016-03-25T18:15:00Z</dcterms:created>
  <dcterms:modified xsi:type="dcterms:W3CDTF">2016-03-25T18:15:00Z</dcterms:modified>
</cp:coreProperties>
</file>